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宋体" w:hAnsi="宋体"/>
          <w:b/>
          <w:color w:val="auto"/>
          <w:sz w:val="32"/>
          <w:szCs w:val="32"/>
        </w:rPr>
      </w:pPr>
      <w:bookmarkStart w:id="0" w:name="_Toc183916655"/>
    </w:p>
    <w:p>
      <w:pPr>
        <w:ind w:firstLine="0" w:firstLineChars="0"/>
        <w:jc w:val="center"/>
        <w:rPr>
          <w:rFonts w:ascii="宋体" w:hAnsi="宋体"/>
          <w:b/>
          <w:color w:val="auto"/>
          <w:sz w:val="32"/>
          <w:szCs w:val="32"/>
        </w:rPr>
      </w:pPr>
    </w:p>
    <w:p>
      <w:pPr>
        <w:ind w:firstLine="0" w:firstLineChars="0"/>
        <w:jc w:val="center"/>
        <w:rPr>
          <w:rFonts w:ascii="宋体"/>
          <w:b/>
          <w:strike w:val="0"/>
          <w:dstrike w:val="0"/>
          <w:color w:val="auto"/>
          <w:sz w:val="32"/>
          <w:szCs w:val="32"/>
          <w:u w:val="single"/>
        </w:rPr>
      </w:pPr>
      <w:r>
        <w:rPr>
          <w:rFonts w:hint="eastAsia" w:ascii="宋体" w:hAnsi="宋体"/>
          <w:b/>
          <w:color w:val="auto"/>
          <w:sz w:val="32"/>
          <w:szCs w:val="32"/>
          <w:u w:val="single"/>
          <w:lang w:val="en-US" w:eastAsia="zh-CN"/>
        </w:rPr>
        <w:t>国资经营公司窗帘采</w:t>
      </w:r>
      <w:r>
        <w:rPr>
          <w:rFonts w:hint="eastAsia" w:ascii="宋体" w:hAnsi="宋体"/>
          <w:b/>
          <w:strike w:val="0"/>
          <w:dstrike w:val="0"/>
          <w:color w:val="auto"/>
          <w:sz w:val="32"/>
          <w:szCs w:val="32"/>
          <w:u w:val="single"/>
          <w:lang w:val="en-US" w:eastAsia="zh-CN"/>
        </w:rPr>
        <w:t>购</w:t>
      </w:r>
      <w:r>
        <w:rPr>
          <w:rFonts w:hint="eastAsia" w:ascii="宋体" w:hAnsi="宋体"/>
          <w:b/>
          <w:strike w:val="0"/>
          <w:dstrike w:val="0"/>
          <w:color w:val="auto"/>
          <w:sz w:val="32"/>
          <w:szCs w:val="32"/>
          <w:u w:val="single"/>
        </w:rPr>
        <w:t>项目</w:t>
      </w:r>
    </w:p>
    <w:p>
      <w:pPr>
        <w:ind w:firstLine="0" w:firstLineChars="0"/>
        <w:jc w:val="center"/>
        <w:rPr>
          <w:rFonts w:ascii="宋体"/>
          <w:color w:val="auto"/>
          <w:sz w:val="72"/>
          <w:szCs w:val="72"/>
        </w:rPr>
      </w:pPr>
    </w:p>
    <w:p>
      <w:pPr>
        <w:ind w:firstLine="0" w:firstLineChars="0"/>
        <w:jc w:val="center"/>
        <w:rPr>
          <w:rFonts w:ascii="宋体"/>
          <w:color w:val="auto"/>
          <w:sz w:val="72"/>
          <w:szCs w:val="72"/>
        </w:rPr>
      </w:pPr>
    </w:p>
    <w:p>
      <w:pPr>
        <w:ind w:firstLine="0" w:firstLineChars="0"/>
        <w:jc w:val="center"/>
        <w:rPr>
          <w:rFonts w:ascii="宋体"/>
          <w:color w:val="auto"/>
          <w:sz w:val="72"/>
          <w:szCs w:val="72"/>
        </w:rPr>
      </w:pPr>
    </w:p>
    <w:p>
      <w:pPr>
        <w:ind w:firstLine="0" w:firstLineChars="0"/>
        <w:jc w:val="center"/>
        <w:rPr>
          <w:rFonts w:ascii="宋体"/>
          <w:color w:val="auto"/>
          <w:sz w:val="72"/>
          <w:szCs w:val="72"/>
        </w:rPr>
      </w:pPr>
    </w:p>
    <w:p>
      <w:pPr>
        <w:ind w:firstLine="0" w:firstLineChars="0"/>
        <w:jc w:val="center"/>
        <w:rPr>
          <w:rFonts w:ascii="宋体"/>
          <w:color w:val="auto"/>
          <w:sz w:val="84"/>
          <w:szCs w:val="84"/>
        </w:rPr>
      </w:pPr>
      <w:r>
        <w:rPr>
          <w:rFonts w:hint="eastAsia" w:ascii="宋体" w:hAnsi="宋体"/>
          <w:color w:val="auto"/>
          <w:sz w:val="84"/>
          <w:szCs w:val="84"/>
        </w:rPr>
        <w:t>比选文件</w:t>
      </w:r>
    </w:p>
    <w:p>
      <w:pPr>
        <w:ind w:firstLine="0" w:firstLineChars="0"/>
        <w:jc w:val="center"/>
        <w:rPr>
          <w:rFonts w:ascii="宋体"/>
          <w:color w:val="auto"/>
          <w:sz w:val="84"/>
          <w:szCs w:val="84"/>
        </w:rPr>
      </w:pPr>
    </w:p>
    <w:p>
      <w:pPr>
        <w:ind w:firstLine="0" w:firstLineChars="0"/>
        <w:jc w:val="center"/>
        <w:rPr>
          <w:rFonts w:ascii="宋体"/>
          <w:color w:val="auto"/>
          <w:sz w:val="84"/>
          <w:szCs w:val="84"/>
        </w:rPr>
      </w:pPr>
    </w:p>
    <w:p>
      <w:pPr>
        <w:ind w:firstLine="1007" w:firstLineChars="310"/>
        <w:rPr>
          <w:rFonts w:hint="default" w:ascii="宋体" w:hAnsi="宋体" w:eastAsia="宋体"/>
          <w:b/>
          <w:bCs/>
          <w:color w:val="auto"/>
          <w:sz w:val="32"/>
          <w:szCs w:val="32"/>
          <w:lang w:val="en-US" w:eastAsia="zh-CN"/>
        </w:rPr>
      </w:pPr>
      <w:r>
        <w:rPr>
          <w:rFonts w:hint="eastAsia" w:ascii="宋体" w:hAnsi="宋体"/>
          <w:b/>
          <w:bCs/>
          <w:color w:val="auto"/>
          <w:sz w:val="32"/>
          <w:szCs w:val="32"/>
        </w:rPr>
        <w:t>比选人：</w:t>
      </w:r>
      <w:r>
        <w:rPr>
          <w:rFonts w:hint="eastAsia" w:ascii="宋体" w:hAnsi="宋体"/>
          <w:b/>
          <w:bCs/>
          <w:color w:val="auto"/>
          <w:sz w:val="32"/>
          <w:szCs w:val="32"/>
          <w:lang w:val="en-US" w:eastAsia="zh-CN"/>
        </w:rPr>
        <w:t>四川省国有资产经营投资管理有限责任公司</w:t>
      </w:r>
    </w:p>
    <w:p>
      <w:pPr>
        <w:ind w:firstLine="1007" w:firstLineChars="310"/>
        <w:jc w:val="center"/>
        <w:rPr>
          <w:rFonts w:ascii="宋体"/>
          <w:b/>
          <w:bCs/>
          <w:color w:val="auto"/>
          <w:sz w:val="32"/>
          <w:szCs w:val="32"/>
        </w:rPr>
      </w:pPr>
    </w:p>
    <w:p>
      <w:pPr>
        <w:ind w:firstLine="1007" w:firstLineChars="310"/>
        <w:rPr>
          <w:rFonts w:ascii="宋体" w:hAnsi="宋体"/>
          <w:b/>
          <w:bCs/>
          <w:color w:val="auto"/>
          <w:sz w:val="32"/>
          <w:szCs w:val="32"/>
        </w:rPr>
      </w:pPr>
    </w:p>
    <w:p>
      <w:pPr>
        <w:ind w:firstLine="1007" w:firstLineChars="310"/>
        <w:rPr>
          <w:rFonts w:ascii="宋体" w:hAnsi="宋体"/>
          <w:b/>
          <w:bCs/>
          <w:color w:val="auto"/>
          <w:sz w:val="32"/>
          <w:szCs w:val="32"/>
        </w:rPr>
      </w:pPr>
    </w:p>
    <w:p>
      <w:pPr>
        <w:ind w:firstLine="0" w:firstLineChars="0"/>
        <w:jc w:val="center"/>
        <w:rPr>
          <w:rFonts w:ascii="宋体"/>
          <w:b/>
          <w:bCs/>
          <w:color w:val="auto"/>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247" w:right="1417" w:bottom="1247" w:left="1417" w:header="851" w:footer="992" w:gutter="0"/>
          <w:cols w:space="0" w:num="1"/>
          <w:rtlGutter w:val="0"/>
          <w:docGrid w:type="linesAndChars" w:linePitch="312" w:charSpace="1062"/>
        </w:sectPr>
      </w:pPr>
      <w:r>
        <w:rPr>
          <w:rFonts w:ascii="宋体" w:hAnsi="宋体"/>
          <w:b/>
          <w:bCs/>
          <w:color w:val="auto"/>
          <w:sz w:val="32"/>
          <w:szCs w:val="32"/>
        </w:rPr>
        <w:t>2021年</w:t>
      </w:r>
      <w:r>
        <w:rPr>
          <w:rFonts w:hint="eastAsia" w:ascii="宋体" w:hAnsi="宋体"/>
          <w:b/>
          <w:bCs/>
          <w:color w:val="auto"/>
          <w:sz w:val="32"/>
          <w:szCs w:val="32"/>
          <w:lang w:val="en-US" w:eastAsia="zh-CN"/>
        </w:rPr>
        <w:t>9</w:t>
      </w:r>
      <w:r>
        <w:rPr>
          <w:rFonts w:ascii="宋体" w:hAnsi="宋体"/>
          <w:b/>
          <w:bCs/>
          <w:color w:val="auto"/>
          <w:sz w:val="32"/>
          <w:szCs w:val="32"/>
        </w:rPr>
        <w:t>月</w:t>
      </w:r>
    </w:p>
    <w:p>
      <w:pPr>
        <w:ind w:firstLine="0" w:firstLineChars="0"/>
        <w:jc w:val="center"/>
        <w:rPr>
          <w:rFonts w:ascii="宋体"/>
          <w:color w:val="auto"/>
          <w:sz w:val="32"/>
          <w:szCs w:val="32"/>
        </w:rPr>
      </w:pPr>
      <w:r>
        <w:rPr>
          <w:rFonts w:hint="eastAsia" w:ascii="宋体" w:hAnsi="宋体"/>
          <w:color w:val="auto"/>
          <w:sz w:val="32"/>
          <w:szCs w:val="32"/>
        </w:rPr>
        <w:t>目录</w:t>
      </w:r>
    </w:p>
    <w:p>
      <w:pPr>
        <w:ind w:firstLine="0" w:firstLineChars="0"/>
        <w:jc w:val="center"/>
        <w:rPr>
          <w:rFonts w:ascii="宋体"/>
          <w:color w:val="auto"/>
          <w:sz w:val="32"/>
          <w:szCs w:val="32"/>
        </w:rPr>
      </w:pPr>
    </w:p>
    <w:p>
      <w:pPr>
        <w:pStyle w:val="12"/>
        <w:tabs>
          <w:tab w:val="right" w:leader="dot" w:pos="9072"/>
          <w:tab w:val="clear" w:pos="840"/>
          <w:tab w:val="clear" w:pos="8296"/>
        </w:tabs>
        <w:ind w:left="0" w:leftChars="0" w:firstLine="482" w:firstLineChars="160"/>
        <w:rPr>
          <w:rFonts w:hint="eastAsia" w:eastAsia="仿宋_GB2312"/>
          <w:lang w:eastAsia="zh-CN"/>
        </w:rPr>
      </w:pPr>
      <w:bookmarkStart w:id="1" w:name="_Toc454834922"/>
      <w:r>
        <w:rPr>
          <w:rFonts w:ascii="宋体" w:hAnsi="宋体"/>
          <w:bCs/>
          <w:color w:val="auto"/>
          <w:sz w:val="30"/>
          <w:szCs w:val="30"/>
        </w:rPr>
        <w:fldChar w:fldCharType="begin"/>
      </w:r>
      <w:r>
        <w:rPr>
          <w:rFonts w:ascii="宋体" w:hAnsi="宋体"/>
          <w:bCs/>
          <w:color w:val="auto"/>
          <w:sz w:val="30"/>
          <w:szCs w:val="30"/>
        </w:rPr>
        <w:instrText xml:space="preserve"> TOC \o "1-1" \u </w:instrText>
      </w:r>
      <w:r>
        <w:rPr>
          <w:rFonts w:ascii="宋体" w:hAnsi="宋体"/>
          <w:bCs/>
          <w:color w:val="auto"/>
          <w:sz w:val="30"/>
          <w:szCs w:val="30"/>
        </w:rPr>
        <w:fldChar w:fldCharType="separate"/>
      </w:r>
      <w:r>
        <w:rPr>
          <w:bCs/>
          <w:color w:val="auto"/>
        </w:rPr>
        <w:t>第一章</w:t>
      </w:r>
      <w:r>
        <w:rPr>
          <w:rFonts w:hint="eastAsia"/>
          <w:bCs/>
          <w:color w:val="auto"/>
          <w:lang w:val="en-US" w:eastAsia="zh-CN"/>
        </w:rPr>
        <w:t xml:space="preserve"> </w:t>
      </w:r>
      <w:r>
        <w:rPr>
          <w:bCs/>
          <w:color w:val="auto"/>
        </w:rPr>
        <w:t>比选公告</w:t>
      </w:r>
      <w:r>
        <w:tab/>
      </w:r>
      <w:r>
        <w:rPr>
          <w:rFonts w:hint="eastAsia"/>
          <w:lang w:val="en-US" w:eastAsia="zh-CN"/>
        </w:rPr>
        <w:t>3</w:t>
      </w:r>
    </w:p>
    <w:p>
      <w:pPr>
        <w:pStyle w:val="12"/>
        <w:tabs>
          <w:tab w:val="right" w:leader="dot" w:pos="9072"/>
          <w:tab w:val="clear" w:pos="840"/>
          <w:tab w:val="clear" w:pos="8296"/>
        </w:tabs>
        <w:rPr>
          <w:rFonts w:hint="eastAsia" w:eastAsia="仿宋_GB2312"/>
          <w:lang w:eastAsia="zh-CN"/>
        </w:rPr>
      </w:pPr>
      <w:r>
        <w:rPr>
          <w:bCs/>
          <w:color w:val="auto"/>
        </w:rPr>
        <w:t>第二章比选申请人须知</w:t>
      </w:r>
      <w:r>
        <w:tab/>
      </w:r>
      <w:r>
        <w:rPr>
          <w:rFonts w:hint="eastAsia"/>
          <w:lang w:val="en-US" w:eastAsia="zh-CN"/>
        </w:rPr>
        <w:t>5</w:t>
      </w:r>
    </w:p>
    <w:p>
      <w:pPr>
        <w:pStyle w:val="12"/>
        <w:tabs>
          <w:tab w:val="right" w:leader="dot" w:pos="9072"/>
          <w:tab w:val="clear" w:pos="840"/>
          <w:tab w:val="clear" w:pos="8296"/>
        </w:tabs>
        <w:rPr>
          <w:rFonts w:hint="eastAsia" w:eastAsia="仿宋_GB2312"/>
          <w:lang w:eastAsia="zh-CN"/>
        </w:rPr>
      </w:pPr>
      <w:r>
        <w:rPr>
          <w:color w:val="auto"/>
        </w:rPr>
        <w:t>第三章评审办法(综合评估法)</w:t>
      </w:r>
      <w:r>
        <w:tab/>
      </w:r>
      <w:r>
        <w:rPr>
          <w:rFonts w:hint="eastAsia"/>
          <w:lang w:val="en-US" w:eastAsia="zh-CN"/>
        </w:rPr>
        <w:t>12</w:t>
      </w:r>
    </w:p>
    <w:p>
      <w:pPr>
        <w:pStyle w:val="12"/>
        <w:tabs>
          <w:tab w:val="right" w:leader="dot" w:pos="9072"/>
          <w:tab w:val="clear" w:pos="840"/>
          <w:tab w:val="clear" w:pos="8296"/>
        </w:tabs>
        <w:rPr>
          <w:rFonts w:hint="default" w:eastAsia="仿宋_GB2312"/>
          <w:lang w:val="en-US" w:eastAsia="zh-CN"/>
        </w:rPr>
      </w:pPr>
      <w:r>
        <w:rPr>
          <w:color w:val="auto"/>
        </w:rPr>
        <w:t>第四章比选申请文件格式</w:t>
      </w:r>
      <w:r>
        <w:tab/>
      </w:r>
      <w:r>
        <w:rPr>
          <w:rFonts w:hint="eastAsia"/>
          <w:lang w:val="en-US" w:eastAsia="zh-CN"/>
        </w:rPr>
        <w:t>28</w:t>
      </w:r>
    </w:p>
    <w:p>
      <w:pPr>
        <w:pStyle w:val="12"/>
        <w:tabs>
          <w:tab w:val="right" w:leader="dot" w:pos="9072"/>
          <w:tab w:val="clear" w:pos="840"/>
          <w:tab w:val="clear" w:pos="8296"/>
        </w:tabs>
        <w:rPr>
          <w:rFonts w:hint="default" w:eastAsia="仿宋_GB2312"/>
          <w:lang w:val="en-US" w:eastAsia="zh-CN"/>
        </w:rPr>
      </w:pPr>
      <w:r>
        <w:rPr>
          <w:color w:val="auto"/>
        </w:rPr>
        <w:t>第五章</w:t>
      </w:r>
      <w:r>
        <w:rPr>
          <w:rFonts w:hint="eastAsia"/>
          <w:color w:val="auto"/>
          <w:lang w:val="en-US" w:eastAsia="zh-CN"/>
        </w:rPr>
        <w:t xml:space="preserve"> </w:t>
      </w:r>
      <w:r>
        <w:rPr>
          <w:color w:val="auto"/>
        </w:rPr>
        <w:t>采购需求</w:t>
      </w:r>
      <w:r>
        <w:tab/>
      </w:r>
      <w:r>
        <w:rPr>
          <w:rFonts w:hint="eastAsia"/>
          <w:lang w:val="en-US" w:eastAsia="zh-CN"/>
        </w:rPr>
        <w:t>40</w:t>
      </w:r>
    </w:p>
    <w:p>
      <w:pPr>
        <w:pStyle w:val="12"/>
        <w:tabs>
          <w:tab w:val="right" w:leader="dot" w:pos="9072"/>
          <w:tab w:val="clear" w:pos="840"/>
          <w:tab w:val="clear" w:pos="8296"/>
        </w:tabs>
        <w:rPr>
          <w:rFonts w:hint="default" w:eastAsia="仿宋_GB2312"/>
          <w:lang w:val="en-US" w:eastAsia="zh-CN"/>
        </w:rPr>
      </w:pPr>
      <w:r>
        <w:rPr>
          <w:color w:val="auto"/>
        </w:rPr>
        <w:t>第六章</w:t>
      </w:r>
      <w:r>
        <w:rPr>
          <w:rFonts w:hint="eastAsia"/>
          <w:color w:val="auto"/>
          <w:lang w:val="en-US" w:eastAsia="zh-CN"/>
        </w:rPr>
        <w:t xml:space="preserve"> </w:t>
      </w:r>
      <w:r>
        <w:rPr>
          <w:color w:val="auto"/>
        </w:rPr>
        <w:t>合同</w:t>
      </w:r>
      <w:r>
        <w:rPr>
          <w:rFonts w:hint="eastAsia"/>
          <w:color w:val="auto"/>
          <w:lang w:val="en-US" w:eastAsia="zh-CN"/>
        </w:rPr>
        <w:t>主要</w:t>
      </w:r>
      <w:r>
        <w:rPr>
          <w:color w:val="auto"/>
        </w:rPr>
        <w:t>条款</w:t>
      </w:r>
      <w:r>
        <w:tab/>
      </w:r>
      <w:r>
        <w:rPr>
          <w:rFonts w:hint="eastAsia"/>
          <w:lang w:val="en-US" w:eastAsia="zh-CN"/>
        </w:rPr>
        <w:t>41</w:t>
      </w:r>
    </w:p>
    <w:p>
      <w:pPr>
        <w:pStyle w:val="3"/>
        <w:spacing w:before="312" w:after="312" w:line="600" w:lineRule="auto"/>
        <w:rPr>
          <w:rStyle w:val="22"/>
          <w:b w:val="0"/>
          <w:color w:val="auto"/>
          <w:sz w:val="44"/>
        </w:rPr>
      </w:pPr>
      <w:r>
        <w:rPr>
          <w:rFonts w:ascii="宋体" w:hAnsi="宋体"/>
          <w:bCs/>
          <w:color w:val="auto"/>
          <w:szCs w:val="30"/>
        </w:rPr>
        <w:fldChar w:fldCharType="end"/>
      </w:r>
      <w:bookmarkStart w:id="2" w:name="_Toc10286"/>
      <w:bookmarkStart w:id="214" w:name="_GoBack"/>
      <w:bookmarkEnd w:id="214"/>
      <w:r>
        <w:rPr>
          <w:color w:val="auto"/>
        </w:rPr>
        <w:br w:type="page"/>
      </w:r>
      <w:r>
        <w:rPr>
          <w:rStyle w:val="22"/>
          <w:b/>
          <w:bCs/>
          <w:color w:val="auto"/>
          <w:sz w:val="44"/>
        </w:rPr>
        <w:t>第一章</w:t>
      </w:r>
      <w:r>
        <w:rPr>
          <w:rStyle w:val="22"/>
          <w:rFonts w:hint="eastAsia"/>
          <w:b/>
          <w:bCs/>
          <w:color w:val="auto"/>
          <w:sz w:val="44"/>
          <w:lang w:val="en-US" w:eastAsia="zh-CN"/>
        </w:rPr>
        <w:t xml:space="preserve"> </w:t>
      </w:r>
      <w:r>
        <w:rPr>
          <w:rStyle w:val="22"/>
          <w:b/>
          <w:bCs/>
          <w:color w:val="auto"/>
          <w:sz w:val="44"/>
        </w:rPr>
        <w:t>比选</w:t>
      </w:r>
      <w:bookmarkEnd w:id="1"/>
      <w:r>
        <w:rPr>
          <w:rStyle w:val="22"/>
          <w:b/>
          <w:bCs/>
          <w:color w:val="auto"/>
          <w:sz w:val="44"/>
        </w:rPr>
        <w:t>公告</w:t>
      </w:r>
      <w:bookmarkEnd w:id="2"/>
    </w:p>
    <w:p>
      <w:pPr>
        <w:ind w:firstLine="482"/>
        <w:rPr>
          <w:rFonts w:ascii="宋体"/>
          <w:color w:val="auto"/>
        </w:rPr>
      </w:pPr>
      <w:r>
        <w:rPr>
          <w:rFonts w:hint="eastAsia" w:ascii="宋体" w:hAnsi="宋体"/>
          <w:b/>
          <w:color w:val="auto"/>
          <w:u w:val="single"/>
          <w:lang w:eastAsia="zh-CN"/>
        </w:rPr>
        <w:t>四川省</w:t>
      </w:r>
      <w:r>
        <w:rPr>
          <w:rFonts w:hint="eastAsia" w:ascii="宋体" w:hAnsi="宋体"/>
          <w:b/>
          <w:color w:val="auto"/>
          <w:u w:val="single"/>
          <w:lang w:val="en-US" w:eastAsia="zh-CN"/>
        </w:rPr>
        <w:t>国有资产经营投资管理有限责任公司</w:t>
      </w:r>
      <w:r>
        <w:rPr>
          <w:rFonts w:hint="eastAsia" w:ascii="宋体" w:hAnsi="宋体"/>
          <w:b w:val="0"/>
          <w:bCs/>
          <w:color w:val="auto"/>
          <w:u w:val="none"/>
          <w:lang w:val="en-US" w:eastAsia="zh-CN"/>
        </w:rPr>
        <w:t>近期将</w:t>
      </w:r>
      <w:r>
        <w:rPr>
          <w:rFonts w:hint="eastAsia" w:ascii="宋体" w:hAnsi="宋体"/>
          <w:b w:val="0"/>
          <w:bCs/>
          <w:color w:val="auto"/>
          <w:u w:val="none"/>
        </w:rPr>
        <w:t>对</w:t>
      </w:r>
      <w:r>
        <w:rPr>
          <w:rFonts w:hint="eastAsia" w:ascii="宋体" w:hAnsi="宋体"/>
          <w:b/>
          <w:bCs/>
          <w:color w:val="auto"/>
          <w:u w:val="single"/>
          <w:lang w:val="en-US" w:eastAsia="zh-CN"/>
        </w:rPr>
        <w:t xml:space="preserve"> 国资经营公司办窗帘采购</w:t>
      </w:r>
      <w:r>
        <w:rPr>
          <w:rFonts w:hint="eastAsia" w:ascii="宋体" w:hAnsi="宋体"/>
          <w:b/>
          <w:bCs/>
          <w:color w:val="auto"/>
          <w:u w:val="single"/>
        </w:rPr>
        <w:t>项目</w:t>
      </w:r>
      <w:r>
        <w:rPr>
          <w:rFonts w:hint="eastAsia" w:ascii="宋体" w:hAnsi="宋体"/>
          <w:color w:val="auto"/>
        </w:rPr>
        <w:t>进行</w:t>
      </w:r>
      <w:r>
        <w:rPr>
          <w:rFonts w:hint="eastAsia" w:ascii="宋体" w:hAnsi="宋体"/>
          <w:color w:val="auto"/>
          <w:lang w:val="en-US" w:eastAsia="zh-CN"/>
        </w:rPr>
        <w:t>公开</w:t>
      </w:r>
      <w:r>
        <w:rPr>
          <w:rFonts w:hint="eastAsia" w:ascii="宋体" w:hAnsi="宋体"/>
          <w:color w:val="auto"/>
        </w:rPr>
        <w:t>比选，兹邀请符合条件的比选申请人参加比选。</w:t>
      </w:r>
    </w:p>
    <w:p>
      <w:pPr>
        <w:pStyle w:val="2"/>
        <w:spacing w:before="156" w:after="156"/>
        <w:ind w:firstLine="643" w:firstLineChars="200"/>
        <w:rPr>
          <w:color w:val="auto"/>
        </w:rPr>
      </w:pPr>
      <w:bookmarkStart w:id="3" w:name="_Toc454834923"/>
      <w:bookmarkStart w:id="4" w:name="_Toc517640271"/>
      <w:bookmarkStart w:id="5" w:name="_Toc517640357"/>
      <w:bookmarkStart w:id="6" w:name="_Toc456648490"/>
      <w:bookmarkStart w:id="7" w:name="_Toc514083100"/>
      <w:bookmarkStart w:id="8" w:name="_Toc462131539"/>
      <w:r>
        <w:rPr>
          <w:rFonts w:hint="eastAsia"/>
          <w:color w:val="auto"/>
        </w:rPr>
        <w:t>一、比选项目概况</w:t>
      </w:r>
      <w:bookmarkEnd w:id="3"/>
      <w:bookmarkEnd w:id="4"/>
      <w:bookmarkEnd w:id="5"/>
      <w:bookmarkEnd w:id="6"/>
      <w:bookmarkEnd w:id="7"/>
      <w:bookmarkEnd w:id="8"/>
    </w:p>
    <w:p>
      <w:pPr>
        <w:ind w:firstLine="480"/>
        <w:rPr>
          <w:rFonts w:hint="eastAsia" w:ascii="宋体" w:hAnsi="宋体"/>
          <w:b/>
          <w:color w:val="auto"/>
          <w:u w:val="none"/>
          <w:lang w:val="en-US" w:eastAsia="zh-CN"/>
        </w:rPr>
      </w:pPr>
      <w:bookmarkStart w:id="9" w:name="_Toc462131540"/>
      <w:bookmarkStart w:id="10" w:name="_Toc454834924"/>
      <w:bookmarkStart w:id="11" w:name="_Toc517640272"/>
      <w:bookmarkStart w:id="12" w:name="_Toc517640358"/>
      <w:bookmarkStart w:id="13" w:name="_Toc514083101"/>
      <w:bookmarkStart w:id="14" w:name="_Toc456648491"/>
      <w:bookmarkStart w:id="15" w:name="_Toc514058177"/>
      <w:bookmarkStart w:id="16" w:name="_Toc514057913"/>
      <w:r>
        <w:rPr>
          <w:color w:val="auto"/>
        </w:rPr>
        <w:t>1</w:t>
      </w:r>
      <w:r>
        <w:rPr>
          <w:rFonts w:hint="eastAsia"/>
          <w:color w:val="auto"/>
          <w:lang w:val="en-US" w:eastAsia="zh-CN"/>
        </w:rPr>
        <w:t>.</w:t>
      </w:r>
      <w:r>
        <w:rPr>
          <w:rFonts w:hint="eastAsia"/>
          <w:color w:val="auto"/>
        </w:rPr>
        <w:t>比选人（项目业主）：</w:t>
      </w:r>
      <w:bookmarkEnd w:id="9"/>
      <w:bookmarkEnd w:id="10"/>
      <w:bookmarkEnd w:id="11"/>
      <w:bookmarkEnd w:id="12"/>
      <w:bookmarkEnd w:id="13"/>
      <w:bookmarkEnd w:id="14"/>
      <w:bookmarkEnd w:id="15"/>
      <w:bookmarkEnd w:id="16"/>
      <w:bookmarkStart w:id="17" w:name="_Toc517640273"/>
      <w:bookmarkStart w:id="18" w:name="_Toc462131541"/>
      <w:bookmarkStart w:id="19" w:name="_Toc456648492"/>
      <w:bookmarkStart w:id="20" w:name="_Toc514057914"/>
      <w:bookmarkStart w:id="21" w:name="_Toc514058178"/>
      <w:bookmarkStart w:id="22" w:name="_Toc454834925"/>
      <w:bookmarkStart w:id="23" w:name="_Toc517640359"/>
      <w:bookmarkStart w:id="24" w:name="_Toc514083102"/>
      <w:r>
        <w:rPr>
          <w:rFonts w:hint="eastAsia" w:ascii="宋体" w:hAnsi="宋体"/>
          <w:b/>
          <w:color w:val="auto"/>
          <w:u w:val="none"/>
          <w:lang w:val="en-US" w:eastAsia="zh-CN"/>
        </w:rPr>
        <w:t>四川省国有资产经营投资管理有限责任公司</w:t>
      </w:r>
    </w:p>
    <w:p>
      <w:pPr>
        <w:ind w:firstLine="480"/>
        <w:rPr>
          <w:rFonts w:hint="eastAsia"/>
          <w:color w:val="auto"/>
          <w:u w:val="none"/>
        </w:rPr>
      </w:pPr>
      <w:r>
        <w:rPr>
          <w:color w:val="auto"/>
        </w:rPr>
        <w:t>2</w:t>
      </w:r>
      <w:r>
        <w:rPr>
          <w:rFonts w:hint="eastAsia"/>
          <w:color w:val="auto"/>
          <w:lang w:eastAsia="zh-CN"/>
        </w:rPr>
        <w:t>.</w:t>
      </w:r>
      <w:r>
        <w:rPr>
          <w:rFonts w:hint="eastAsia"/>
          <w:color w:val="auto"/>
        </w:rPr>
        <w:t>项目名称：</w:t>
      </w:r>
      <w:bookmarkEnd w:id="17"/>
      <w:bookmarkEnd w:id="18"/>
      <w:bookmarkEnd w:id="19"/>
      <w:bookmarkEnd w:id="20"/>
      <w:bookmarkEnd w:id="21"/>
      <w:bookmarkEnd w:id="22"/>
      <w:bookmarkEnd w:id="23"/>
      <w:bookmarkEnd w:id="24"/>
      <w:bookmarkStart w:id="25" w:name="_Toc454834926"/>
      <w:bookmarkStart w:id="26" w:name="_Toc456648493"/>
      <w:bookmarkStart w:id="27" w:name="_Toc514083104"/>
      <w:bookmarkStart w:id="28" w:name="_Toc514057916"/>
      <w:bookmarkStart w:id="29" w:name="_Toc462131542"/>
      <w:bookmarkStart w:id="30" w:name="_Toc514058180"/>
      <w:bookmarkStart w:id="31" w:name="_Toc517640275"/>
      <w:bookmarkStart w:id="32" w:name="_Toc517640361"/>
      <w:r>
        <w:rPr>
          <w:rFonts w:hint="eastAsia" w:ascii="宋体" w:hAnsi="宋体"/>
          <w:b/>
          <w:bCs/>
          <w:color w:val="auto"/>
          <w:u w:val="none"/>
          <w:lang w:val="en-US" w:eastAsia="zh-CN"/>
        </w:rPr>
        <w:t>国资经营公司窗帘采购</w:t>
      </w:r>
      <w:r>
        <w:rPr>
          <w:rFonts w:hint="eastAsia" w:ascii="宋体" w:hAnsi="宋体"/>
          <w:b/>
          <w:bCs/>
          <w:color w:val="auto"/>
          <w:u w:val="none"/>
        </w:rPr>
        <w:t>项目</w:t>
      </w:r>
    </w:p>
    <w:p>
      <w:pPr>
        <w:ind w:firstLine="480"/>
        <w:rPr>
          <w:rFonts w:ascii="宋体" w:cs="Arial"/>
          <w:color w:val="auto"/>
          <w:kern w:val="0"/>
          <w:szCs w:val="21"/>
        </w:rPr>
      </w:pPr>
      <w:r>
        <w:rPr>
          <w:color w:val="auto"/>
        </w:rPr>
        <w:t>3</w:t>
      </w:r>
      <w:bookmarkEnd w:id="25"/>
      <w:bookmarkEnd w:id="26"/>
      <w:r>
        <w:rPr>
          <w:rFonts w:hint="eastAsia"/>
          <w:color w:val="auto"/>
          <w:lang w:eastAsia="zh-CN"/>
        </w:rPr>
        <w:t>.</w:t>
      </w:r>
      <w:r>
        <w:rPr>
          <w:rFonts w:hint="eastAsia"/>
          <w:color w:val="auto"/>
        </w:rPr>
        <w:t>项目概况</w:t>
      </w:r>
      <w:bookmarkEnd w:id="27"/>
      <w:bookmarkEnd w:id="28"/>
      <w:bookmarkEnd w:id="29"/>
      <w:bookmarkEnd w:id="30"/>
      <w:r>
        <w:rPr>
          <w:rFonts w:hint="eastAsia"/>
          <w:color w:val="auto"/>
        </w:rPr>
        <w:t>：</w:t>
      </w:r>
      <w:bookmarkEnd w:id="31"/>
      <w:bookmarkEnd w:id="32"/>
    </w:p>
    <w:p>
      <w:pPr>
        <w:ind w:firstLine="480"/>
        <w:rPr>
          <w:color w:val="auto"/>
        </w:rPr>
      </w:pPr>
      <w:bookmarkStart w:id="33" w:name="_Toc14007"/>
      <w:r>
        <w:rPr>
          <w:color w:val="auto"/>
        </w:rPr>
        <w:t>3.1</w:t>
      </w:r>
      <w:r>
        <w:rPr>
          <w:rFonts w:hint="eastAsia"/>
          <w:color w:val="auto"/>
        </w:rPr>
        <w:t>交货地点：</w:t>
      </w:r>
      <w:bookmarkStart w:id="34" w:name="_Toc503300719"/>
      <w:bookmarkStart w:id="35" w:name="_Toc503300772"/>
      <w:bookmarkStart w:id="36" w:name="_Toc503300671"/>
      <w:r>
        <w:rPr>
          <w:rFonts w:hint="eastAsia"/>
          <w:color w:val="auto"/>
          <w:lang w:val="en-US" w:eastAsia="zh-CN"/>
        </w:rPr>
        <w:t>四川省成都市锦江区三色路199号1栋1单元12-14楼</w:t>
      </w:r>
      <w:r>
        <w:rPr>
          <w:rFonts w:hint="eastAsia"/>
          <w:color w:val="auto"/>
        </w:rPr>
        <w:t>。。</w:t>
      </w:r>
      <w:bookmarkEnd w:id="33"/>
    </w:p>
    <w:p>
      <w:pPr>
        <w:ind w:firstLine="480"/>
        <w:rPr>
          <w:rFonts w:hint="eastAsia" w:ascii="宋体" w:hAnsi="宋体" w:cs="Arial"/>
          <w:color w:val="auto"/>
          <w:kern w:val="0"/>
          <w:szCs w:val="21"/>
          <w:lang w:eastAsia="zh-CN"/>
        </w:rPr>
      </w:pPr>
      <w:bookmarkStart w:id="37" w:name="_Toc2406"/>
      <w:r>
        <w:rPr>
          <w:color w:val="auto"/>
        </w:rPr>
        <w:t>3.2</w:t>
      </w:r>
      <w:r>
        <w:rPr>
          <w:rFonts w:hint="eastAsia"/>
          <w:color w:val="auto"/>
        </w:rPr>
        <w:t>项目规模</w:t>
      </w:r>
      <w:bookmarkEnd w:id="34"/>
      <w:bookmarkEnd w:id="35"/>
      <w:bookmarkEnd w:id="36"/>
      <w:r>
        <w:rPr>
          <w:rFonts w:hint="eastAsia"/>
          <w:color w:val="auto"/>
        </w:rPr>
        <w:t>：</w:t>
      </w:r>
      <w:r>
        <w:rPr>
          <w:rFonts w:hint="eastAsia" w:ascii="宋体" w:hAnsi="宋体" w:cs="Arial"/>
          <w:color w:val="auto"/>
          <w:kern w:val="0"/>
          <w:szCs w:val="21"/>
        </w:rPr>
        <w:t>本项目拟采购</w:t>
      </w:r>
      <w:r>
        <w:rPr>
          <w:rFonts w:hint="eastAsia" w:ascii="宋体" w:hAnsi="宋体" w:cs="Arial"/>
          <w:b/>
          <w:bCs/>
          <w:color w:val="auto"/>
          <w:kern w:val="0"/>
          <w:szCs w:val="21"/>
          <w:u w:val="single"/>
        </w:rPr>
        <w:t>会议室</w:t>
      </w:r>
      <w:r>
        <w:rPr>
          <w:rFonts w:hint="eastAsia" w:ascii="宋体" w:hAnsi="宋体" w:cs="Arial"/>
          <w:b/>
          <w:bCs/>
          <w:color w:val="auto"/>
          <w:kern w:val="0"/>
          <w:szCs w:val="21"/>
          <w:u w:val="single"/>
          <w:lang w:val="en-US" w:eastAsia="zh-CN"/>
        </w:rPr>
        <w:t>窗帘</w:t>
      </w:r>
      <w:r>
        <w:rPr>
          <w:rFonts w:hint="eastAsia" w:ascii="宋体" w:hAnsi="宋体" w:cs="Arial"/>
          <w:b/>
          <w:bCs/>
          <w:color w:val="auto"/>
          <w:kern w:val="0"/>
          <w:szCs w:val="21"/>
          <w:u w:val="single"/>
        </w:rPr>
        <w:t>、办公室</w:t>
      </w:r>
      <w:r>
        <w:rPr>
          <w:rFonts w:hint="eastAsia" w:ascii="宋体" w:hAnsi="宋体" w:cs="Arial"/>
          <w:b/>
          <w:bCs/>
          <w:color w:val="auto"/>
          <w:kern w:val="0"/>
          <w:szCs w:val="21"/>
          <w:u w:val="single"/>
          <w:lang w:val="en-US" w:eastAsia="zh-CN"/>
        </w:rPr>
        <w:t>窗帘</w:t>
      </w:r>
      <w:bookmarkEnd w:id="37"/>
      <w:bookmarkStart w:id="38" w:name="_Toc16022"/>
      <w:r>
        <w:rPr>
          <w:rFonts w:hint="eastAsia" w:ascii="宋体" w:hAnsi="宋体" w:cs="Arial"/>
          <w:color w:val="auto"/>
          <w:kern w:val="0"/>
          <w:szCs w:val="21"/>
          <w:lang w:eastAsia="zh-CN"/>
        </w:rPr>
        <w:t>。</w:t>
      </w:r>
    </w:p>
    <w:p>
      <w:pPr>
        <w:ind w:firstLine="480"/>
        <w:rPr>
          <w:color w:val="auto"/>
        </w:rPr>
      </w:pPr>
      <w:r>
        <w:rPr>
          <w:color w:val="auto"/>
        </w:rPr>
        <w:t>3.3</w:t>
      </w:r>
      <w:r>
        <w:rPr>
          <w:rFonts w:hint="eastAsia"/>
          <w:color w:val="auto"/>
        </w:rPr>
        <w:t>采购费用估算为：</w:t>
      </w:r>
      <w:r>
        <w:rPr>
          <w:rFonts w:hint="eastAsia"/>
          <w:color w:val="auto"/>
          <w:lang w:val="en-US" w:eastAsia="zh-CN"/>
        </w:rPr>
        <w:t>12</w:t>
      </w:r>
      <w:r>
        <w:rPr>
          <w:rFonts w:hint="eastAsia"/>
          <w:color w:val="auto"/>
        </w:rPr>
        <w:t>万元</w:t>
      </w:r>
      <w:bookmarkEnd w:id="38"/>
      <w:r>
        <w:rPr>
          <w:rFonts w:hint="eastAsia"/>
          <w:color w:val="auto"/>
        </w:rPr>
        <w:t>。</w:t>
      </w:r>
    </w:p>
    <w:p>
      <w:pPr>
        <w:ind w:firstLine="480"/>
        <w:rPr>
          <w:color w:val="auto"/>
        </w:rPr>
      </w:pPr>
      <w:bookmarkStart w:id="39" w:name="_Toc28667"/>
      <w:r>
        <w:rPr>
          <w:color w:val="auto"/>
        </w:rPr>
        <w:t>3.4</w:t>
      </w:r>
      <w:r>
        <w:rPr>
          <w:rFonts w:hint="eastAsia"/>
          <w:color w:val="auto"/>
        </w:rPr>
        <w:t>项目资金来源：企业自筹资金。</w:t>
      </w:r>
      <w:bookmarkEnd w:id="39"/>
    </w:p>
    <w:p>
      <w:pPr>
        <w:ind w:firstLine="480"/>
        <w:rPr>
          <w:color w:val="auto"/>
        </w:rPr>
      </w:pPr>
      <w:bookmarkStart w:id="40" w:name="_Toc7902"/>
      <w:r>
        <w:rPr>
          <w:color w:val="auto"/>
        </w:rPr>
        <w:t>3.5</w:t>
      </w:r>
      <w:r>
        <w:rPr>
          <w:rFonts w:hint="eastAsia"/>
          <w:color w:val="auto"/>
        </w:rPr>
        <w:t>比选范围及标段划分：</w:t>
      </w:r>
      <w:bookmarkEnd w:id="40"/>
      <w:r>
        <w:rPr>
          <w:rFonts w:hint="eastAsia"/>
          <w:color w:val="auto"/>
          <w:lang w:eastAsia="zh-CN"/>
        </w:rPr>
        <w:t>无分标段</w:t>
      </w:r>
      <w:r>
        <w:rPr>
          <w:rFonts w:hint="eastAsia"/>
          <w:color w:val="auto"/>
        </w:rPr>
        <w:t>。具体范围详见产品需求清单。</w:t>
      </w:r>
    </w:p>
    <w:p>
      <w:pPr>
        <w:pStyle w:val="2"/>
        <w:spacing w:before="156" w:after="156"/>
        <w:ind w:firstLine="643" w:firstLineChars="200"/>
        <w:rPr>
          <w:color w:val="auto"/>
        </w:rPr>
      </w:pPr>
      <w:r>
        <w:rPr>
          <w:rFonts w:hint="eastAsia"/>
          <w:color w:val="auto"/>
        </w:rPr>
        <w:t>二、对比选申请人的资格条件要求</w:t>
      </w:r>
    </w:p>
    <w:p>
      <w:pPr>
        <w:ind w:firstLine="480"/>
        <w:rPr>
          <w:color w:val="auto"/>
        </w:rPr>
      </w:pPr>
      <w:bookmarkStart w:id="41" w:name="_Toc503300673"/>
      <w:bookmarkStart w:id="42" w:name="_Toc502747502"/>
      <w:bookmarkStart w:id="43" w:name="_Toc503300774"/>
      <w:bookmarkStart w:id="44" w:name="_Toc503300721"/>
      <w:bookmarkStart w:id="45" w:name="_Toc29879"/>
      <w:r>
        <w:rPr>
          <w:color w:val="auto"/>
        </w:rPr>
        <w:t>1</w:t>
      </w:r>
      <w:r>
        <w:rPr>
          <w:rFonts w:hint="eastAsia"/>
          <w:color w:val="auto"/>
          <w:lang w:eastAsia="zh-CN"/>
        </w:rPr>
        <w:t>.</w:t>
      </w:r>
      <w:r>
        <w:rPr>
          <w:rFonts w:hint="eastAsia"/>
          <w:color w:val="auto"/>
        </w:rPr>
        <w:t>资质要求：</w:t>
      </w:r>
      <w:bookmarkEnd w:id="41"/>
      <w:bookmarkEnd w:id="42"/>
      <w:bookmarkEnd w:id="43"/>
      <w:bookmarkEnd w:id="44"/>
      <w:r>
        <w:rPr>
          <w:rFonts w:hint="eastAsia"/>
          <w:color w:val="auto"/>
        </w:rPr>
        <w:t>本次比选要求投标人须为在中华人民共和国依法注册并合法存续的独立企业法人，并有能力完成本次家具供货（投标人具有必须的设备和专业技术能力）。</w:t>
      </w:r>
      <w:bookmarkEnd w:id="45"/>
    </w:p>
    <w:p>
      <w:pPr>
        <w:ind w:firstLine="480"/>
        <w:rPr>
          <w:color w:val="auto"/>
        </w:rPr>
      </w:pPr>
      <w:bookmarkStart w:id="46" w:name="_Toc10325"/>
      <w:r>
        <w:rPr>
          <w:color w:val="auto"/>
        </w:rPr>
        <w:t>2</w:t>
      </w:r>
      <w:r>
        <w:rPr>
          <w:rFonts w:hint="eastAsia"/>
          <w:color w:val="auto"/>
          <w:lang w:eastAsia="zh-CN"/>
        </w:rPr>
        <w:t>.</w:t>
      </w:r>
      <w:r>
        <w:rPr>
          <w:rFonts w:hint="eastAsia"/>
          <w:color w:val="auto"/>
        </w:rPr>
        <w:t>信誉要求：投标人未被“信用中国”网站（</w:t>
      </w:r>
      <w:r>
        <w:rPr>
          <w:color w:val="auto"/>
        </w:rPr>
        <w:t>www.creditchina.gov.cn</w:t>
      </w:r>
      <w:r>
        <w:rPr>
          <w:rFonts w:hint="eastAsia"/>
          <w:color w:val="auto"/>
        </w:rPr>
        <w:t>）列入失信惩戒名单（提供网站下载的信用信息报告，具体下载时间为本项目投标报名至投标截止时间前）；近三年没有因腐败或欺诈行为被政府或招标人取消中标资格，没有与招标人发生各种诉讼、仲裁和不良投诉，没有因产品质量问题导致招标人退货处理的（须就上述内容提供承诺函并加盖投标人公章）。</w:t>
      </w:r>
      <w:bookmarkEnd w:id="46"/>
    </w:p>
    <w:p>
      <w:pPr>
        <w:ind w:firstLine="480"/>
        <w:rPr>
          <w:color w:val="auto"/>
        </w:rPr>
      </w:pPr>
      <w:bookmarkStart w:id="47" w:name="_Toc502747503"/>
      <w:bookmarkStart w:id="48" w:name="_Toc503300775"/>
      <w:bookmarkStart w:id="49" w:name="_Toc503300674"/>
      <w:bookmarkStart w:id="50" w:name="_Toc503300722"/>
      <w:bookmarkStart w:id="51" w:name="_Toc2525"/>
      <w:r>
        <w:rPr>
          <w:color w:val="auto"/>
        </w:rPr>
        <w:t>3</w:t>
      </w:r>
      <w:r>
        <w:rPr>
          <w:rFonts w:hint="eastAsia"/>
          <w:color w:val="auto"/>
          <w:lang w:eastAsia="zh-CN"/>
        </w:rPr>
        <w:t>.</w:t>
      </w:r>
      <w:r>
        <w:rPr>
          <w:rFonts w:hint="eastAsia"/>
          <w:color w:val="auto"/>
        </w:rPr>
        <w:t>本次比选不接受联合体投标。</w:t>
      </w:r>
      <w:bookmarkEnd w:id="47"/>
      <w:bookmarkEnd w:id="48"/>
      <w:bookmarkEnd w:id="49"/>
      <w:bookmarkEnd w:id="50"/>
      <w:bookmarkEnd w:id="51"/>
      <w:r>
        <w:rPr>
          <w:color w:val="auto"/>
        </w:rPr>
        <w:t xml:space="preserve">  </w:t>
      </w:r>
    </w:p>
    <w:p>
      <w:pPr>
        <w:ind w:firstLine="480"/>
        <w:rPr>
          <w:color w:val="auto"/>
        </w:rPr>
      </w:pPr>
      <w:bookmarkStart w:id="52" w:name="_Toc32079"/>
      <w:r>
        <w:rPr>
          <w:color w:val="auto"/>
        </w:rPr>
        <w:t>4</w:t>
      </w:r>
      <w:r>
        <w:rPr>
          <w:rFonts w:hint="eastAsia"/>
          <w:color w:val="auto"/>
          <w:lang w:eastAsia="zh-CN"/>
        </w:rPr>
        <w:t>.</w:t>
      </w:r>
      <w:r>
        <w:rPr>
          <w:rFonts w:hint="eastAsia"/>
          <w:color w:val="auto"/>
        </w:rPr>
        <w:t>法定代表人为同一个人的两个及两个以上法人，母公司、全资子公司及其控股公司，以及其他形式有资产关联关系的投标人，都不得在同一招标项目同一标段中同时投标。</w:t>
      </w:r>
      <w:bookmarkEnd w:id="52"/>
    </w:p>
    <w:p>
      <w:pPr>
        <w:pStyle w:val="2"/>
        <w:spacing w:before="156" w:after="156"/>
        <w:ind w:firstLine="643" w:firstLineChars="200"/>
        <w:rPr>
          <w:color w:val="auto"/>
        </w:rPr>
      </w:pPr>
      <w:r>
        <w:rPr>
          <w:rFonts w:hint="eastAsia"/>
          <w:color w:val="auto"/>
        </w:rPr>
        <w:t>三、</w:t>
      </w:r>
      <w:r>
        <w:rPr>
          <w:rFonts w:hint="eastAsia"/>
          <w:color w:val="auto"/>
          <w:lang w:val="en-US" w:eastAsia="zh-CN"/>
        </w:rPr>
        <w:t>获取</w:t>
      </w:r>
      <w:r>
        <w:rPr>
          <w:rFonts w:hint="eastAsia"/>
          <w:color w:val="auto"/>
        </w:rPr>
        <w:t>比选文件时间、地点</w:t>
      </w:r>
    </w:p>
    <w:p>
      <w:pPr>
        <w:tabs>
          <w:tab w:val="left" w:pos="1620"/>
        </w:tabs>
        <w:ind w:firstLine="480"/>
        <w:rPr>
          <w:rFonts w:ascii="宋体"/>
          <w:b w:val="0"/>
          <w:bCs/>
          <w:color w:val="auto"/>
        </w:rPr>
      </w:pPr>
      <w:r>
        <w:rPr>
          <w:rFonts w:hint="eastAsia" w:ascii="宋体" w:hAnsi="宋体"/>
          <w:bCs/>
          <w:color w:val="auto"/>
        </w:rPr>
        <w:t>凡有意参加比选者请于</w:t>
      </w:r>
      <w:r>
        <w:rPr>
          <w:rFonts w:ascii="宋体" w:hAnsi="宋体"/>
          <w:b/>
          <w:bCs w:val="0"/>
          <w:color w:val="auto"/>
          <w:highlight w:val="none"/>
        </w:rPr>
        <w:t>2021</w:t>
      </w:r>
      <w:r>
        <w:rPr>
          <w:rFonts w:hint="eastAsia" w:ascii="宋体" w:hAnsi="宋体"/>
          <w:b/>
          <w:bCs w:val="0"/>
          <w:color w:val="auto"/>
          <w:highlight w:val="none"/>
        </w:rPr>
        <w:t>年</w:t>
      </w:r>
      <w:r>
        <w:rPr>
          <w:rFonts w:hint="eastAsia" w:ascii="宋体" w:hAnsi="宋体"/>
          <w:b/>
          <w:bCs w:val="0"/>
          <w:color w:val="auto"/>
          <w:highlight w:val="none"/>
          <w:lang w:val="en-US" w:eastAsia="zh-CN"/>
        </w:rPr>
        <w:t>9</w:t>
      </w:r>
      <w:r>
        <w:rPr>
          <w:rFonts w:hint="eastAsia" w:ascii="宋体" w:hAnsi="宋体"/>
          <w:b/>
          <w:bCs w:val="0"/>
          <w:color w:val="auto"/>
          <w:highlight w:val="none"/>
        </w:rPr>
        <w:t>月</w:t>
      </w:r>
      <w:r>
        <w:rPr>
          <w:rFonts w:hint="eastAsia" w:ascii="宋体" w:hAnsi="宋体"/>
          <w:b/>
          <w:bCs w:val="0"/>
          <w:color w:val="auto"/>
          <w:highlight w:val="none"/>
          <w:lang w:val="en-US" w:eastAsia="zh-CN"/>
        </w:rPr>
        <w:t>15</w:t>
      </w:r>
      <w:r>
        <w:rPr>
          <w:rFonts w:hint="eastAsia" w:ascii="宋体" w:hAnsi="宋体"/>
          <w:b/>
          <w:bCs w:val="0"/>
          <w:color w:val="auto"/>
          <w:highlight w:val="none"/>
        </w:rPr>
        <w:t>日至</w:t>
      </w:r>
      <w:r>
        <w:rPr>
          <w:rFonts w:ascii="宋体" w:hAnsi="宋体"/>
          <w:b/>
          <w:bCs w:val="0"/>
          <w:color w:val="auto"/>
          <w:highlight w:val="none"/>
        </w:rPr>
        <w:t>2021</w:t>
      </w:r>
      <w:r>
        <w:rPr>
          <w:rFonts w:hint="eastAsia" w:ascii="宋体" w:hAnsi="宋体"/>
          <w:b/>
          <w:bCs w:val="0"/>
          <w:color w:val="auto"/>
          <w:highlight w:val="none"/>
        </w:rPr>
        <w:t>年</w:t>
      </w:r>
      <w:r>
        <w:rPr>
          <w:rFonts w:hint="eastAsia" w:ascii="宋体" w:hAnsi="宋体"/>
          <w:b/>
          <w:bCs w:val="0"/>
          <w:color w:val="auto"/>
          <w:highlight w:val="none"/>
          <w:lang w:val="en-US" w:eastAsia="zh-CN"/>
        </w:rPr>
        <w:t>9</w:t>
      </w:r>
      <w:r>
        <w:rPr>
          <w:rFonts w:hint="eastAsia" w:ascii="宋体" w:hAnsi="宋体"/>
          <w:b/>
          <w:bCs w:val="0"/>
          <w:color w:val="auto"/>
          <w:highlight w:val="none"/>
        </w:rPr>
        <w:t>月</w:t>
      </w:r>
      <w:r>
        <w:rPr>
          <w:rFonts w:hint="eastAsia" w:ascii="宋体" w:hAnsi="宋体"/>
          <w:b/>
          <w:bCs w:val="0"/>
          <w:color w:val="auto"/>
          <w:highlight w:val="none"/>
          <w:lang w:val="en-US" w:eastAsia="zh-CN"/>
        </w:rPr>
        <w:t>16</w:t>
      </w:r>
      <w:r>
        <w:rPr>
          <w:rFonts w:hint="eastAsia" w:ascii="宋体" w:hAnsi="宋体"/>
          <w:b/>
          <w:bCs w:val="0"/>
          <w:color w:val="auto"/>
          <w:highlight w:val="none"/>
        </w:rPr>
        <w:t>日</w:t>
      </w:r>
      <w:r>
        <w:rPr>
          <w:rFonts w:hint="eastAsia" w:ascii="宋体" w:hAnsi="宋体"/>
          <w:bCs/>
          <w:color w:val="auto"/>
        </w:rPr>
        <w:t>每天上午</w:t>
      </w:r>
      <w:r>
        <w:rPr>
          <w:rFonts w:ascii="宋体" w:hAnsi="宋体"/>
          <w:bCs/>
          <w:color w:val="auto"/>
        </w:rPr>
        <w:t>09</w:t>
      </w:r>
      <w:r>
        <w:rPr>
          <w:rFonts w:hint="eastAsia" w:ascii="宋体" w:hAnsi="宋体"/>
          <w:bCs/>
          <w:color w:val="auto"/>
        </w:rPr>
        <w:t>：</w:t>
      </w:r>
      <w:r>
        <w:rPr>
          <w:rFonts w:ascii="宋体" w:hAnsi="宋体"/>
          <w:bCs/>
          <w:color w:val="auto"/>
        </w:rPr>
        <w:t>00-11:30</w:t>
      </w:r>
      <w:r>
        <w:rPr>
          <w:rFonts w:hint="eastAsia" w:ascii="宋体" w:hAnsi="宋体"/>
          <w:bCs/>
          <w:color w:val="auto"/>
        </w:rPr>
        <w:t>，下午</w:t>
      </w:r>
      <w:r>
        <w:rPr>
          <w:rFonts w:ascii="宋体" w:hAnsi="宋体"/>
          <w:bCs/>
          <w:color w:val="auto"/>
        </w:rPr>
        <w:t>13:30-16</w:t>
      </w:r>
      <w:r>
        <w:rPr>
          <w:rFonts w:hint="eastAsia" w:ascii="宋体" w:hAnsi="宋体"/>
          <w:bCs/>
          <w:color w:val="auto"/>
        </w:rPr>
        <w:t>：</w:t>
      </w:r>
      <w:r>
        <w:rPr>
          <w:rFonts w:ascii="宋体" w:hAnsi="宋体"/>
          <w:bCs/>
          <w:color w:val="auto"/>
        </w:rPr>
        <w:t>30</w:t>
      </w:r>
      <w:r>
        <w:rPr>
          <w:rFonts w:hint="eastAsia" w:ascii="宋体" w:hAnsi="宋体"/>
          <w:bCs/>
          <w:color w:val="auto"/>
        </w:rPr>
        <w:t>（法定节假日、公休日除外）携带单位介绍信原件及经办人有效身份</w:t>
      </w:r>
      <w:r>
        <w:rPr>
          <w:rFonts w:hint="eastAsia" w:ascii="宋体" w:hAnsi="宋体"/>
          <w:b w:val="0"/>
          <w:bCs/>
          <w:color w:val="auto"/>
        </w:rPr>
        <w:t>证复印件、营业执照复印件</w:t>
      </w:r>
      <w:r>
        <w:rPr>
          <w:rFonts w:ascii="宋体" w:hAnsi="宋体"/>
          <w:b w:val="0"/>
          <w:bCs/>
          <w:color w:val="auto"/>
        </w:rPr>
        <w:t>(</w:t>
      </w:r>
      <w:r>
        <w:rPr>
          <w:rFonts w:hint="eastAsia" w:ascii="宋体" w:hAnsi="宋体"/>
          <w:b w:val="0"/>
          <w:bCs/>
          <w:color w:val="auto"/>
        </w:rPr>
        <w:t>复印件须加盖比选申请人单位公章）到</w:t>
      </w:r>
      <w:r>
        <w:rPr>
          <w:rFonts w:hint="eastAsia" w:ascii="宋体" w:hAnsi="宋体"/>
          <w:b w:val="0"/>
          <w:bCs/>
          <w:color w:val="auto"/>
          <w:lang w:val="en-US" w:eastAsia="zh-CN"/>
        </w:rPr>
        <w:t>四川省国有资产经营投资管理有限责任公司</w:t>
      </w:r>
      <w:r>
        <w:rPr>
          <w:rFonts w:hint="eastAsia" w:ascii="宋体" w:hAnsi="宋体"/>
          <w:b w:val="0"/>
          <w:bCs/>
          <w:color w:val="auto"/>
        </w:rPr>
        <w:t>（</w:t>
      </w:r>
      <w:r>
        <w:rPr>
          <w:rFonts w:hint="eastAsia" w:ascii="宋体" w:hAnsi="宋体"/>
          <w:b w:val="0"/>
          <w:bCs/>
          <w:color w:val="auto"/>
          <w:lang w:eastAsia="zh-CN"/>
        </w:rPr>
        <w:t>地址：</w:t>
      </w:r>
      <w:r>
        <w:rPr>
          <w:rFonts w:hint="eastAsia" w:ascii="宋体" w:hAnsi="宋体"/>
          <w:b w:val="0"/>
          <w:bCs/>
          <w:color w:val="auto"/>
          <w:lang w:val="en-US" w:eastAsia="zh-CN"/>
        </w:rPr>
        <w:t>锦江区三色路199号五冶大厦A区13楼</w:t>
      </w:r>
      <w:r>
        <w:rPr>
          <w:rFonts w:hint="eastAsia" w:ascii="宋体" w:hAnsi="宋体"/>
          <w:b w:val="0"/>
          <w:bCs/>
          <w:color w:val="auto"/>
        </w:rPr>
        <w:t>）</w:t>
      </w:r>
      <w:r>
        <w:rPr>
          <w:rFonts w:hint="eastAsia" w:ascii="宋体" w:hAnsi="宋体"/>
          <w:b w:val="0"/>
          <w:bCs/>
          <w:color w:val="auto"/>
          <w:lang w:val="en-US" w:eastAsia="zh-CN"/>
        </w:rPr>
        <w:t>免费获取</w:t>
      </w:r>
      <w:r>
        <w:rPr>
          <w:rFonts w:hint="eastAsia" w:ascii="宋体" w:hAnsi="宋体"/>
          <w:b w:val="0"/>
          <w:bCs/>
          <w:color w:val="auto"/>
        </w:rPr>
        <w:t>比选文件。</w:t>
      </w:r>
    </w:p>
    <w:p>
      <w:pPr>
        <w:pStyle w:val="2"/>
        <w:spacing w:before="156" w:after="156"/>
        <w:ind w:firstLine="643" w:firstLineChars="200"/>
        <w:rPr>
          <w:color w:val="auto"/>
        </w:rPr>
      </w:pPr>
      <w:r>
        <w:rPr>
          <w:rFonts w:hint="eastAsia"/>
          <w:color w:val="auto"/>
        </w:rPr>
        <w:t>四、</w:t>
      </w:r>
      <w:r>
        <w:rPr>
          <w:rFonts w:hint="eastAsia"/>
          <w:color w:val="auto"/>
          <w:lang w:val="en-US" w:eastAsia="zh-CN"/>
        </w:rPr>
        <w:t>投标</w:t>
      </w:r>
      <w:r>
        <w:rPr>
          <w:rFonts w:hint="eastAsia"/>
          <w:color w:val="auto"/>
        </w:rPr>
        <w:t>文件递交截止时间、地点</w:t>
      </w:r>
    </w:p>
    <w:p>
      <w:pPr>
        <w:ind w:firstLine="480"/>
        <w:rPr>
          <w:rFonts w:hint="eastAsia" w:ascii="宋体" w:eastAsia="宋体"/>
          <w:color w:val="auto"/>
          <w:lang w:eastAsia="zh-CN"/>
        </w:rPr>
      </w:pPr>
      <w:r>
        <w:rPr>
          <w:rFonts w:hint="eastAsia" w:ascii="宋体" w:hAnsi="宋体"/>
          <w:color w:val="auto"/>
          <w:lang w:val="en-US" w:eastAsia="zh-CN"/>
        </w:rPr>
        <w:t>投标</w:t>
      </w:r>
      <w:r>
        <w:rPr>
          <w:rFonts w:hint="eastAsia" w:ascii="宋体" w:hAnsi="宋体"/>
          <w:color w:val="auto"/>
        </w:rPr>
        <w:t>文件递交截止时间为：</w:t>
      </w:r>
      <w:r>
        <w:rPr>
          <w:rFonts w:ascii="宋体" w:hAnsi="宋体"/>
          <w:b/>
          <w:bCs/>
          <w:color w:val="auto"/>
          <w:highlight w:val="none"/>
        </w:rPr>
        <w:t>2021</w:t>
      </w:r>
      <w:r>
        <w:rPr>
          <w:rFonts w:hint="eastAsia" w:ascii="宋体" w:hAnsi="宋体"/>
          <w:b/>
          <w:bCs/>
          <w:color w:val="auto"/>
          <w:highlight w:val="none"/>
        </w:rPr>
        <w:t>年</w:t>
      </w:r>
      <w:r>
        <w:rPr>
          <w:rFonts w:hint="eastAsia" w:ascii="宋体" w:hAnsi="宋体"/>
          <w:b/>
          <w:bCs/>
          <w:color w:val="auto"/>
          <w:highlight w:val="none"/>
          <w:lang w:val="en-US" w:eastAsia="zh-CN"/>
        </w:rPr>
        <w:t>9</w:t>
      </w:r>
      <w:r>
        <w:rPr>
          <w:rFonts w:hint="eastAsia" w:ascii="宋体" w:hAnsi="宋体"/>
          <w:b/>
          <w:bCs/>
          <w:color w:val="auto"/>
          <w:highlight w:val="none"/>
        </w:rPr>
        <w:t>月</w:t>
      </w:r>
      <w:r>
        <w:rPr>
          <w:rFonts w:hint="eastAsia" w:ascii="宋体" w:hAnsi="宋体"/>
          <w:b/>
          <w:bCs/>
          <w:color w:val="auto"/>
          <w:highlight w:val="none"/>
          <w:lang w:val="en-US" w:eastAsia="zh-CN"/>
        </w:rPr>
        <w:t>22</w:t>
      </w:r>
      <w:r>
        <w:rPr>
          <w:rFonts w:hint="eastAsia" w:ascii="宋体" w:hAnsi="宋体"/>
          <w:b/>
          <w:bCs/>
          <w:color w:val="auto"/>
          <w:highlight w:val="none"/>
        </w:rPr>
        <w:t>日</w:t>
      </w:r>
      <w:r>
        <w:rPr>
          <w:rFonts w:ascii="宋体" w:hAnsi="宋体"/>
          <w:b/>
          <w:bCs/>
          <w:color w:val="auto"/>
          <w:highlight w:val="none"/>
        </w:rPr>
        <w:t>10</w:t>
      </w:r>
      <w:r>
        <w:rPr>
          <w:rFonts w:hint="eastAsia" w:ascii="宋体" w:hAnsi="宋体"/>
          <w:b/>
          <w:bCs/>
          <w:color w:val="auto"/>
          <w:highlight w:val="none"/>
        </w:rPr>
        <w:t>时（</w:t>
      </w:r>
      <w:r>
        <w:rPr>
          <w:rFonts w:hint="eastAsia" w:ascii="宋体" w:hAnsi="宋体"/>
          <w:b/>
          <w:bCs/>
          <w:color w:val="auto"/>
        </w:rPr>
        <w:t>北京时间）</w:t>
      </w:r>
      <w:r>
        <w:rPr>
          <w:rFonts w:hint="eastAsia" w:ascii="宋体" w:hAnsi="宋体"/>
          <w:color w:val="auto"/>
        </w:rPr>
        <w:t>，地点为</w:t>
      </w:r>
      <w:r>
        <w:rPr>
          <w:rFonts w:hint="eastAsia" w:ascii="宋体" w:hAnsi="宋体"/>
          <w:color w:val="auto"/>
          <w:lang w:val="en-US" w:eastAsia="zh-CN"/>
        </w:rPr>
        <w:t>四川省国有资产经营投资管理有限责任公司</w:t>
      </w:r>
      <w:r>
        <w:rPr>
          <w:rFonts w:hint="eastAsia" w:ascii="宋体" w:hAnsi="宋体"/>
          <w:b w:val="0"/>
          <w:bCs/>
          <w:color w:val="auto"/>
        </w:rPr>
        <w:t>（</w:t>
      </w:r>
      <w:r>
        <w:rPr>
          <w:rFonts w:hint="eastAsia" w:ascii="宋体" w:hAnsi="宋体"/>
          <w:b w:val="0"/>
          <w:bCs/>
          <w:color w:val="auto"/>
          <w:lang w:eastAsia="zh-CN"/>
        </w:rPr>
        <w:t>地址：</w:t>
      </w:r>
      <w:r>
        <w:rPr>
          <w:rFonts w:hint="eastAsia" w:ascii="宋体" w:hAnsi="宋体"/>
          <w:b w:val="0"/>
          <w:bCs/>
          <w:color w:val="auto"/>
          <w:lang w:val="en-US" w:eastAsia="zh-CN"/>
        </w:rPr>
        <w:t>锦江区三色路199号五冶大厦A区13楼</w:t>
      </w:r>
      <w:r>
        <w:rPr>
          <w:rFonts w:hint="eastAsia" w:ascii="宋体" w:hAnsi="宋体"/>
          <w:b w:val="0"/>
          <w:bCs/>
          <w:color w:val="auto"/>
        </w:rPr>
        <w:t>）</w:t>
      </w:r>
      <w:r>
        <w:rPr>
          <w:rFonts w:hint="eastAsia" w:ascii="宋体" w:hAnsi="宋体"/>
          <w:b w:val="0"/>
          <w:bCs/>
          <w:color w:val="auto"/>
          <w:lang w:eastAsia="zh-CN"/>
        </w:rPr>
        <w:t>。</w:t>
      </w:r>
    </w:p>
    <w:p>
      <w:pPr>
        <w:pStyle w:val="2"/>
        <w:spacing w:before="156" w:after="156"/>
        <w:ind w:firstLine="643" w:firstLineChars="200"/>
        <w:rPr>
          <w:color w:val="auto"/>
        </w:rPr>
      </w:pPr>
      <w:r>
        <w:rPr>
          <w:rFonts w:hint="eastAsia"/>
          <w:color w:val="auto"/>
        </w:rPr>
        <w:t>五、公告发布媒介</w:t>
      </w:r>
    </w:p>
    <w:p>
      <w:pPr>
        <w:ind w:firstLine="480"/>
        <w:rPr>
          <w:rFonts w:hint="eastAsia" w:ascii="宋体" w:hAnsi="宋体"/>
          <w:b w:val="0"/>
          <w:bCs/>
          <w:color w:val="auto"/>
          <w:u w:val="none"/>
          <w:lang w:eastAsia="zh-CN"/>
        </w:rPr>
      </w:pPr>
      <w:r>
        <w:rPr>
          <w:rFonts w:hint="eastAsia" w:ascii="宋体" w:hAnsi="宋体"/>
          <w:b w:val="0"/>
          <w:bCs/>
          <w:color w:val="auto"/>
          <w:u w:val="none"/>
          <w:lang w:eastAsia="zh-CN"/>
        </w:rPr>
        <w:t>本比选公告在</w:t>
      </w:r>
      <w:r>
        <w:rPr>
          <w:rFonts w:hint="eastAsia" w:ascii="宋体" w:hAnsi="宋体"/>
          <w:b w:val="0"/>
          <w:bCs/>
          <w:color w:val="auto"/>
          <w:u w:val="none"/>
          <w:lang w:val="en-US" w:eastAsia="zh-CN"/>
        </w:rPr>
        <w:t>四川省国有资产经营投资管理有限责任公司网站https://www.scgzjy.com/</w:t>
      </w:r>
      <w:r>
        <w:rPr>
          <w:rFonts w:hint="eastAsia" w:ascii="宋体" w:hAnsi="宋体"/>
          <w:b w:val="0"/>
          <w:bCs/>
          <w:color w:val="auto"/>
          <w:u w:val="none"/>
          <w:lang w:eastAsia="zh-CN"/>
        </w:rPr>
        <w:t>上发布。</w:t>
      </w:r>
    </w:p>
    <w:p>
      <w:pPr>
        <w:pStyle w:val="2"/>
        <w:spacing w:before="156" w:after="156"/>
        <w:ind w:firstLine="643" w:firstLineChars="200"/>
        <w:rPr>
          <w:color w:val="auto"/>
        </w:rPr>
      </w:pPr>
      <w:r>
        <w:rPr>
          <w:rFonts w:hint="eastAsia"/>
          <w:color w:val="auto"/>
        </w:rPr>
        <w:t>六、联系方式</w:t>
      </w:r>
    </w:p>
    <w:p>
      <w:pPr>
        <w:ind w:firstLine="480"/>
        <w:rPr>
          <w:rFonts w:hint="eastAsia" w:ascii="宋体" w:eastAsia="宋体"/>
          <w:color w:val="auto"/>
          <w:u w:val="single"/>
          <w:lang w:eastAsia="zh-CN"/>
        </w:rPr>
      </w:pPr>
      <w:r>
        <w:rPr>
          <w:rFonts w:hint="eastAsia" w:ascii="宋体" w:hAnsi="宋体"/>
          <w:color w:val="auto"/>
        </w:rPr>
        <w:t>比选人（全称）：</w:t>
      </w:r>
      <w:r>
        <w:rPr>
          <w:rFonts w:hint="eastAsia" w:ascii="宋体" w:hAnsi="宋体"/>
          <w:color w:val="auto"/>
          <w:lang w:val="en-US" w:eastAsia="zh-CN"/>
        </w:rPr>
        <w:t>四川省国有资产经营投资管理有限责任公司</w:t>
      </w:r>
    </w:p>
    <w:p>
      <w:pPr>
        <w:ind w:firstLine="480"/>
        <w:rPr>
          <w:rFonts w:ascii="宋体"/>
          <w:color w:val="auto"/>
        </w:rPr>
      </w:pPr>
      <w:r>
        <w:rPr>
          <w:rFonts w:hint="eastAsia" w:ascii="宋体" w:hAnsi="宋体"/>
          <w:color w:val="auto"/>
        </w:rPr>
        <w:t>地</w:t>
      </w:r>
      <w:r>
        <w:rPr>
          <w:rFonts w:ascii="宋体" w:hAnsi="宋体"/>
          <w:color w:val="auto"/>
        </w:rPr>
        <w:t xml:space="preserve">  </w:t>
      </w:r>
      <w:r>
        <w:rPr>
          <w:rFonts w:hint="eastAsia" w:ascii="宋体" w:hAnsi="宋体"/>
          <w:color w:val="auto"/>
        </w:rPr>
        <w:t>址：</w:t>
      </w:r>
      <w:r>
        <w:rPr>
          <w:rFonts w:hint="eastAsia" w:ascii="宋体" w:hAnsi="宋体"/>
          <w:b w:val="0"/>
          <w:bCs/>
          <w:color w:val="auto"/>
          <w:lang w:val="en-US" w:eastAsia="zh-CN"/>
        </w:rPr>
        <w:t>锦江区三色路199号五冶大厦A区13楼</w:t>
      </w:r>
    </w:p>
    <w:p>
      <w:pPr>
        <w:ind w:firstLine="480"/>
        <w:rPr>
          <w:rFonts w:hint="eastAsia" w:ascii="宋体" w:hAnsi="宋体" w:eastAsia="宋体"/>
          <w:color w:val="auto"/>
          <w:lang w:val="en-US" w:eastAsia="zh-CN"/>
        </w:rPr>
      </w:pPr>
      <w:r>
        <w:rPr>
          <w:rFonts w:hint="eastAsia" w:ascii="宋体" w:hAnsi="宋体"/>
          <w:color w:val="auto"/>
        </w:rPr>
        <w:t>联系人：</w:t>
      </w:r>
      <w:r>
        <w:rPr>
          <w:rFonts w:hint="eastAsia" w:ascii="宋体" w:hAnsi="宋体"/>
          <w:color w:val="auto"/>
          <w:lang w:val="en-US" w:eastAsia="zh-CN"/>
        </w:rPr>
        <w:t>郭先生</w:t>
      </w:r>
    </w:p>
    <w:p>
      <w:pPr>
        <w:ind w:firstLine="480"/>
        <w:rPr>
          <w:rFonts w:hint="eastAsia" w:ascii="宋体" w:hAnsi="宋体"/>
          <w:color w:val="auto"/>
        </w:rPr>
      </w:pPr>
      <w:r>
        <w:rPr>
          <w:rFonts w:hint="eastAsia" w:ascii="宋体" w:hAnsi="宋体"/>
          <w:color w:val="auto"/>
        </w:rPr>
        <w:t>电话：028-6</w:t>
      </w:r>
      <w:r>
        <w:rPr>
          <w:rFonts w:hint="eastAsia" w:ascii="宋体" w:hAnsi="宋体"/>
          <w:color w:val="auto"/>
          <w:lang w:val="en-US" w:eastAsia="zh-CN"/>
        </w:rPr>
        <w:t>2088778</w:t>
      </w:r>
      <w:r>
        <w:rPr>
          <w:rFonts w:hint="eastAsia" w:ascii="宋体" w:hAnsi="宋体"/>
          <w:color w:val="auto"/>
        </w:rPr>
        <w:t>，电子邮箱：</w:t>
      </w:r>
      <w:r>
        <w:rPr>
          <w:rFonts w:hint="eastAsia" w:ascii="宋体" w:hAnsi="宋体"/>
          <w:color w:val="auto"/>
        </w:rPr>
        <w:fldChar w:fldCharType="begin"/>
      </w:r>
      <w:r>
        <w:rPr>
          <w:rFonts w:hint="eastAsia" w:ascii="宋体" w:hAnsi="宋体"/>
          <w:color w:val="auto"/>
        </w:rPr>
        <w:instrText xml:space="preserve"> HYPERLINK "mailto:205117574@qq.com%E3%80%82" </w:instrText>
      </w:r>
      <w:r>
        <w:rPr>
          <w:rFonts w:hint="eastAsia" w:ascii="宋体" w:hAnsi="宋体"/>
          <w:color w:val="auto"/>
        </w:rPr>
        <w:fldChar w:fldCharType="separate"/>
      </w:r>
      <w:r>
        <w:rPr>
          <w:rFonts w:hint="eastAsia" w:ascii="宋体" w:hAnsi="宋体"/>
          <w:color w:val="auto"/>
        </w:rPr>
        <w:t>4</w:t>
      </w:r>
      <w:r>
        <w:rPr>
          <w:rFonts w:hint="eastAsia" w:ascii="宋体" w:hAnsi="宋体"/>
          <w:color w:val="auto"/>
          <w:lang w:val="en-US" w:eastAsia="zh-CN"/>
        </w:rPr>
        <w:t>17750199</w:t>
      </w:r>
      <w:r>
        <w:rPr>
          <w:rFonts w:hint="eastAsia" w:ascii="宋体" w:hAnsi="宋体"/>
          <w:color w:val="auto"/>
        </w:rPr>
        <w:t>@qq.com。</w:t>
      </w:r>
      <w:r>
        <w:rPr>
          <w:rFonts w:hint="eastAsia" w:ascii="宋体" w:hAnsi="宋体"/>
          <w:color w:val="auto"/>
        </w:rPr>
        <w:fldChar w:fldCharType="end"/>
      </w:r>
    </w:p>
    <w:p>
      <w:pPr>
        <w:pStyle w:val="3"/>
        <w:spacing w:before="312" w:after="312"/>
        <w:rPr>
          <w:color w:val="auto"/>
        </w:rPr>
      </w:pPr>
      <w:r>
        <w:rPr>
          <w:rFonts w:ascii="宋体"/>
          <w:color w:val="auto"/>
        </w:rPr>
        <w:br w:type="page"/>
      </w:r>
      <w:bookmarkStart w:id="53" w:name="_Toc500402949"/>
      <w:bookmarkStart w:id="54" w:name="_Toc454834938"/>
    </w:p>
    <w:p>
      <w:pPr>
        <w:pStyle w:val="3"/>
        <w:spacing w:before="312" w:after="312"/>
        <w:rPr>
          <w:rFonts w:ascii="宋体"/>
          <w:color w:val="auto"/>
        </w:rPr>
      </w:pPr>
      <w:bookmarkStart w:id="55" w:name="_Toc454834928"/>
      <w:bookmarkStart w:id="56" w:name="_Toc1484"/>
      <w:r>
        <w:rPr>
          <w:rStyle w:val="22"/>
          <w:b/>
          <w:bCs/>
          <w:color w:val="auto"/>
          <w:sz w:val="44"/>
        </w:rPr>
        <w:t>第二章比选申请人须知</w:t>
      </w:r>
      <w:bookmarkEnd w:id="55"/>
      <w:bookmarkEnd w:id="56"/>
    </w:p>
    <w:p>
      <w:pPr>
        <w:pStyle w:val="14"/>
        <w:spacing w:before="156" w:after="156"/>
        <w:rPr>
          <w:color w:val="auto"/>
        </w:rPr>
      </w:pPr>
      <w:bookmarkStart w:id="57" w:name="_Toc454834929"/>
      <w:bookmarkStart w:id="58" w:name="_Toc500402878"/>
      <w:r>
        <w:rPr>
          <w:color w:val="auto"/>
        </w:rPr>
        <w:t>比选申请人须知前附表</w:t>
      </w:r>
      <w:bookmarkEnd w:id="57"/>
      <w:bookmarkEnd w:id="58"/>
    </w:p>
    <w:tbl>
      <w:tblPr>
        <w:tblStyle w:val="17"/>
        <w:tblW w:w="9080" w:type="dxa"/>
        <w:tblInd w:w="0" w:type="dxa"/>
        <w:tblLayout w:type="fixed"/>
        <w:tblCellMar>
          <w:top w:w="0" w:type="dxa"/>
          <w:left w:w="0" w:type="dxa"/>
          <w:bottom w:w="0" w:type="dxa"/>
          <w:right w:w="0" w:type="dxa"/>
        </w:tblCellMar>
      </w:tblPr>
      <w:tblGrid>
        <w:gridCol w:w="873"/>
        <w:gridCol w:w="2430"/>
        <w:gridCol w:w="5777"/>
      </w:tblGrid>
      <w:tr>
        <w:tblPrEx>
          <w:tblCellMar>
            <w:top w:w="0" w:type="dxa"/>
            <w:left w:w="0" w:type="dxa"/>
            <w:bottom w:w="0" w:type="dxa"/>
            <w:right w:w="0" w:type="dxa"/>
          </w:tblCellMar>
        </w:tblPrEx>
        <w:trPr>
          <w:trHeight w:val="593" w:hRule="atLeast"/>
          <w:tblHeader/>
        </w:trPr>
        <w:tc>
          <w:tcPr>
            <w:tcW w:w="873" w:type="dxa"/>
            <w:tcBorders>
              <w:top w:val="single" w:color="auto" w:sz="4" w:space="0"/>
              <w:left w:val="single" w:color="auto" w:sz="4" w:space="0"/>
              <w:bottom w:val="single" w:color="auto" w:sz="4" w:space="0"/>
              <w:right w:val="single" w:color="auto" w:sz="4" w:space="0"/>
            </w:tcBorders>
            <w:vAlign w:val="center"/>
          </w:tcPr>
          <w:p>
            <w:pPr>
              <w:pStyle w:val="35"/>
              <w:jc w:val="center"/>
              <w:rPr>
                <w:rFonts w:hAnsi="宋体" w:cs="宋体"/>
                <w:b/>
                <w:color w:val="auto"/>
                <w:sz w:val="21"/>
                <w:szCs w:val="21"/>
                <w:lang w:val="zh-CN"/>
              </w:rPr>
            </w:pPr>
            <w:r>
              <w:rPr>
                <w:rFonts w:hint="eastAsia" w:hAnsi="宋体" w:cs="宋体"/>
                <w:b/>
                <w:color w:val="auto"/>
                <w:sz w:val="21"/>
                <w:szCs w:val="21"/>
                <w:lang w:val="zh-CN"/>
              </w:rPr>
              <w:t>序号</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ind w:left="38"/>
              <w:jc w:val="center"/>
              <w:rPr>
                <w:rFonts w:hAnsi="宋体" w:cs="宋体"/>
                <w:b/>
                <w:color w:val="auto"/>
                <w:sz w:val="21"/>
                <w:szCs w:val="21"/>
                <w:lang w:val="zh-CN"/>
              </w:rPr>
            </w:pPr>
            <w:r>
              <w:rPr>
                <w:rFonts w:hint="eastAsia" w:hAnsi="宋体" w:cs="宋体"/>
                <w:b/>
                <w:color w:val="auto"/>
                <w:sz w:val="21"/>
                <w:szCs w:val="21"/>
                <w:lang w:val="zh-CN"/>
              </w:rPr>
              <w:t>条款名称</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jc w:val="center"/>
              <w:rPr>
                <w:rFonts w:hAnsi="宋体" w:cs="宋体"/>
                <w:b/>
                <w:color w:val="auto"/>
                <w:sz w:val="21"/>
                <w:szCs w:val="21"/>
                <w:lang w:val="zh-CN"/>
              </w:rPr>
            </w:pPr>
            <w:r>
              <w:rPr>
                <w:rFonts w:hint="eastAsia" w:hAnsi="宋体" w:cs="宋体"/>
                <w:b/>
                <w:color w:val="auto"/>
                <w:sz w:val="21"/>
                <w:szCs w:val="21"/>
                <w:lang w:val="zh-CN"/>
              </w:rPr>
              <w:t>编列内容</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p>
        </w:tc>
        <w:tc>
          <w:tcPr>
            <w:tcW w:w="2430"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比选人</w:t>
            </w:r>
          </w:p>
        </w:tc>
        <w:tc>
          <w:tcPr>
            <w:tcW w:w="5777"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rPr>
                <w:rFonts w:hint="default" w:hAnsi="宋体" w:cs="宋体"/>
                <w:color w:val="auto"/>
                <w:sz w:val="21"/>
                <w:szCs w:val="21"/>
                <w:lang w:val="en-US" w:eastAsia="zh-CN"/>
              </w:rPr>
            </w:pPr>
            <w:r>
              <w:rPr>
                <w:rFonts w:hint="eastAsia" w:hAnsi="宋体" w:cs="宋体"/>
                <w:color w:val="auto"/>
                <w:sz w:val="21"/>
                <w:szCs w:val="21"/>
                <w:lang w:val="en-US" w:eastAsia="zh-CN"/>
              </w:rPr>
              <w:t>比选人（全称）：四川省国有资产经营投资管理有限责任公司</w:t>
            </w:r>
          </w:p>
          <w:p>
            <w:pPr>
              <w:pStyle w:val="35"/>
              <w:spacing w:line="300" w:lineRule="auto"/>
              <w:ind w:left="120" w:leftChars="50" w:right="120" w:rightChars="50"/>
              <w:rPr>
                <w:rFonts w:hint="default" w:hAnsi="宋体" w:cs="宋体"/>
                <w:color w:val="auto"/>
                <w:sz w:val="21"/>
                <w:szCs w:val="21"/>
                <w:lang w:val="en-US" w:eastAsia="zh-CN"/>
              </w:rPr>
            </w:pPr>
            <w:r>
              <w:rPr>
                <w:rFonts w:hint="eastAsia" w:hAnsi="宋体" w:cs="宋体"/>
                <w:color w:val="auto"/>
                <w:sz w:val="21"/>
                <w:szCs w:val="21"/>
                <w:lang w:val="en-US" w:eastAsia="zh-CN"/>
              </w:rPr>
              <w:t>地  址：成都市锦江区三色路199号五冶大厦A区13楼</w:t>
            </w:r>
          </w:p>
          <w:p>
            <w:pPr>
              <w:pStyle w:val="35"/>
              <w:spacing w:line="300" w:lineRule="auto"/>
              <w:ind w:left="120" w:leftChars="50" w:right="120" w:rightChars="50"/>
              <w:rPr>
                <w:rFonts w:hint="default" w:hAnsi="宋体" w:cs="宋体"/>
                <w:color w:val="auto"/>
                <w:sz w:val="21"/>
                <w:szCs w:val="21"/>
                <w:lang w:val="en-US" w:eastAsia="zh-CN"/>
              </w:rPr>
            </w:pPr>
            <w:r>
              <w:rPr>
                <w:rFonts w:hint="eastAsia" w:hAnsi="宋体" w:cs="宋体"/>
                <w:color w:val="auto"/>
                <w:sz w:val="21"/>
                <w:szCs w:val="21"/>
                <w:lang w:val="en-US" w:eastAsia="zh-CN"/>
              </w:rPr>
              <w:t>联系人：郭先生</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lang w:val="en-US" w:eastAsia="zh-CN"/>
              </w:rPr>
              <w:t>电话：028-62088778，电子邮箱：</w:t>
            </w:r>
            <w:r>
              <w:rPr>
                <w:rFonts w:hint="eastAsia" w:hAnsi="宋体" w:cs="宋体"/>
                <w:color w:val="auto"/>
                <w:sz w:val="21"/>
                <w:szCs w:val="21"/>
                <w:lang w:val="en-US" w:eastAsia="zh-CN"/>
              </w:rPr>
              <w:fldChar w:fldCharType="begin"/>
            </w:r>
            <w:r>
              <w:rPr>
                <w:rFonts w:hint="eastAsia" w:hAnsi="宋体" w:cs="宋体"/>
                <w:color w:val="auto"/>
                <w:sz w:val="21"/>
                <w:szCs w:val="21"/>
                <w:lang w:val="en-US" w:eastAsia="zh-CN"/>
              </w:rPr>
              <w:instrText xml:space="preserve"> HYPERLINK "mailto:205117574@qq.com%E3%80%82" </w:instrText>
            </w:r>
            <w:r>
              <w:rPr>
                <w:rFonts w:hint="eastAsia" w:hAnsi="宋体" w:cs="宋体"/>
                <w:color w:val="auto"/>
                <w:sz w:val="21"/>
                <w:szCs w:val="21"/>
                <w:lang w:val="en-US" w:eastAsia="zh-CN"/>
              </w:rPr>
              <w:fldChar w:fldCharType="separate"/>
            </w:r>
            <w:r>
              <w:rPr>
                <w:rFonts w:hint="eastAsia" w:hAnsi="宋体" w:cs="宋体"/>
                <w:color w:val="auto"/>
                <w:sz w:val="21"/>
                <w:szCs w:val="21"/>
                <w:lang w:val="en-US" w:eastAsia="zh-CN"/>
              </w:rPr>
              <w:t>417750199@qq.com。</w:t>
            </w:r>
            <w:r>
              <w:rPr>
                <w:rFonts w:hint="eastAsia" w:hAnsi="宋体" w:cs="宋体"/>
                <w:color w:val="auto"/>
                <w:sz w:val="21"/>
                <w:szCs w:val="21"/>
                <w:lang w:val="en-US" w:eastAsia="zh-CN"/>
              </w:rPr>
              <w:fldChar w:fldCharType="end"/>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p>
        </w:tc>
        <w:tc>
          <w:tcPr>
            <w:tcW w:w="2430"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代理机构</w:t>
            </w:r>
          </w:p>
        </w:tc>
        <w:tc>
          <w:tcPr>
            <w:tcW w:w="5777" w:type="dxa"/>
            <w:tcBorders>
              <w:top w:val="single" w:color="auto" w:sz="4" w:space="0"/>
              <w:left w:val="single" w:color="auto" w:sz="4" w:space="0"/>
              <w:right w:val="single" w:color="auto" w:sz="4" w:space="0"/>
            </w:tcBorders>
            <w:vAlign w:val="center"/>
          </w:tcPr>
          <w:p>
            <w:pPr>
              <w:pStyle w:val="35"/>
              <w:spacing w:line="300" w:lineRule="auto"/>
              <w:ind w:right="120" w:rightChars="50"/>
              <w:rPr>
                <w:rFonts w:hint="eastAsia" w:hAnsi="宋体" w:eastAsia="宋体" w:cs="宋体"/>
                <w:color w:val="auto"/>
                <w:sz w:val="21"/>
                <w:szCs w:val="21"/>
                <w:lang w:val="en-US" w:eastAsia="zh-CN"/>
              </w:rPr>
            </w:pPr>
            <w:r>
              <w:rPr>
                <w:rFonts w:hint="eastAsia" w:hAnsi="宋体" w:cs="宋体"/>
                <w:color w:val="auto"/>
                <w:sz w:val="21"/>
                <w:szCs w:val="21"/>
                <w:lang w:val="en-US" w:eastAsia="zh-CN"/>
              </w:rPr>
              <w:t>/</w:t>
            </w:r>
          </w:p>
        </w:tc>
      </w:tr>
      <w:tr>
        <w:tblPrEx>
          <w:tblCellMar>
            <w:top w:w="0" w:type="dxa"/>
            <w:left w:w="0" w:type="dxa"/>
            <w:bottom w:w="0" w:type="dxa"/>
            <w:right w:w="0" w:type="dxa"/>
          </w:tblCellMar>
        </w:tblPrEx>
        <w:trPr>
          <w:trHeight w:val="545"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3</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比选范围</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比选文件第五章《采购需求》中的全部内容。</w:t>
            </w:r>
          </w:p>
        </w:tc>
      </w:tr>
      <w:tr>
        <w:tblPrEx>
          <w:tblCellMar>
            <w:top w:w="0" w:type="dxa"/>
            <w:left w:w="0" w:type="dxa"/>
            <w:bottom w:w="0" w:type="dxa"/>
            <w:right w:w="0" w:type="dxa"/>
          </w:tblCellMar>
        </w:tblPrEx>
        <w:trPr>
          <w:trHeight w:val="545"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4</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rPr>
            </w:pPr>
            <w:r>
              <w:rPr>
                <w:rFonts w:hint="eastAsia" w:hAnsi="宋体" w:cs="宋体"/>
                <w:color w:val="auto"/>
                <w:sz w:val="21"/>
                <w:szCs w:val="21"/>
                <w:lang w:val="zh-CN"/>
              </w:rPr>
              <w:t>资金来源及</w:t>
            </w:r>
            <w:r>
              <w:rPr>
                <w:rFonts w:hint="eastAsia" w:hAnsi="宋体" w:cs="宋体"/>
                <w:color w:val="auto"/>
                <w:sz w:val="21"/>
                <w:szCs w:val="21"/>
              </w:rPr>
              <w:t>出资比例</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企业自筹，</w:t>
            </w:r>
            <w:r>
              <w:rPr>
                <w:rFonts w:hAnsi="宋体" w:cs="宋体"/>
                <w:color w:val="auto"/>
                <w:sz w:val="21"/>
                <w:szCs w:val="21"/>
              </w:rPr>
              <w:t>100%</w:t>
            </w:r>
          </w:p>
        </w:tc>
      </w:tr>
      <w:tr>
        <w:tblPrEx>
          <w:tblCellMar>
            <w:top w:w="0" w:type="dxa"/>
            <w:left w:w="0" w:type="dxa"/>
            <w:bottom w:w="0" w:type="dxa"/>
            <w:right w:w="0" w:type="dxa"/>
          </w:tblCellMar>
        </w:tblPrEx>
        <w:trPr>
          <w:trHeight w:val="545"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5</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服务质量标准</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达到国家、行业现行有关合格标准。</w:t>
            </w:r>
          </w:p>
        </w:tc>
      </w:tr>
      <w:tr>
        <w:tblPrEx>
          <w:tblCellMar>
            <w:top w:w="0" w:type="dxa"/>
            <w:left w:w="0" w:type="dxa"/>
            <w:bottom w:w="0" w:type="dxa"/>
            <w:right w:w="0" w:type="dxa"/>
          </w:tblCellMar>
        </w:tblPrEx>
        <w:trPr>
          <w:trHeight w:val="545"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6</w:t>
            </w:r>
          </w:p>
        </w:tc>
        <w:tc>
          <w:tcPr>
            <w:tcW w:w="243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供货时间及地点</w:t>
            </w:r>
          </w:p>
        </w:tc>
        <w:tc>
          <w:tcPr>
            <w:tcW w:w="577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5"/>
              <w:spacing w:line="300" w:lineRule="auto"/>
              <w:ind w:right="120" w:rightChars="50"/>
              <w:rPr>
                <w:rFonts w:hint="default" w:hAnsi="宋体" w:eastAsia="宋体" w:cs="宋体"/>
                <w:color w:val="auto"/>
                <w:sz w:val="21"/>
                <w:szCs w:val="21"/>
                <w:lang w:val="en-US" w:eastAsia="zh-CN"/>
              </w:rPr>
            </w:pPr>
            <w:r>
              <w:rPr>
                <w:rFonts w:hint="eastAsia" w:hAnsi="宋体" w:cs="宋体"/>
                <w:color w:val="auto"/>
                <w:sz w:val="21"/>
                <w:szCs w:val="21"/>
                <w:highlight w:val="none"/>
                <w:shd w:val="clear" w:fill="FFFFFF" w:themeFill="background1"/>
                <w:lang w:val="en-US" w:eastAsia="zh-CN"/>
              </w:rPr>
              <w:t>时间：2021年9月30日</w:t>
            </w:r>
            <w:r>
              <w:rPr>
                <w:rFonts w:hint="eastAsia" w:hAnsi="宋体" w:cs="宋体"/>
                <w:color w:val="auto"/>
                <w:sz w:val="21"/>
                <w:szCs w:val="21"/>
                <w:lang w:val="en-US" w:eastAsia="zh-CN"/>
              </w:rPr>
              <w:t>。地点：成都市锦江区三色路A区13楼。</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7</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比选申请人资格条件、能力和信誉</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1</w:t>
            </w:r>
            <w:r>
              <w:rPr>
                <w:rFonts w:hint="eastAsia" w:hAnsi="宋体" w:cs="宋体"/>
                <w:color w:val="auto"/>
                <w:sz w:val="21"/>
                <w:szCs w:val="21"/>
                <w:lang w:eastAsia="zh-CN"/>
              </w:rPr>
              <w:t>.</w:t>
            </w:r>
            <w:r>
              <w:rPr>
                <w:rFonts w:hint="eastAsia" w:hAnsi="宋体" w:cs="宋体"/>
                <w:color w:val="auto"/>
                <w:sz w:val="21"/>
                <w:szCs w:val="21"/>
              </w:rPr>
              <w:t>资质要求：本次比选要求投标人须为在中华人民共和国依法注册并合法存续的独立企业法人，并有能力完成本次家具供货（投标人具有必须的设备和专业技术能力）。</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2</w:t>
            </w:r>
            <w:r>
              <w:rPr>
                <w:rFonts w:hint="eastAsia" w:hAnsi="宋体" w:cs="宋体"/>
                <w:color w:val="auto"/>
                <w:sz w:val="21"/>
                <w:szCs w:val="21"/>
                <w:lang w:eastAsia="zh-CN"/>
              </w:rPr>
              <w:t>.</w:t>
            </w:r>
            <w:r>
              <w:rPr>
                <w:rFonts w:hint="eastAsia" w:hAnsi="宋体" w:cs="宋体"/>
                <w:color w:val="auto"/>
                <w:sz w:val="21"/>
                <w:szCs w:val="21"/>
              </w:rPr>
              <w:t>信誉要求：投标人未被“信用中国”网站（www.creditchina.gov.cn）列入失信惩戒名单（提供网站下载的信用信息报告，具体下载时间为本项目投标报名至投标截止时间前）；近三年没有因腐败或欺诈行为被政府或招标人取消中标资格，没有与招标人发生各种诉讼、仲裁和不良投诉，没有因产品质量问题导致招标人退货处理的（须就上述内容提供承诺函并加盖投标人公章）。</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3</w:t>
            </w:r>
            <w:r>
              <w:rPr>
                <w:rFonts w:hint="eastAsia" w:hAnsi="宋体" w:cs="宋体"/>
                <w:color w:val="auto"/>
                <w:sz w:val="21"/>
                <w:szCs w:val="21"/>
                <w:lang w:eastAsia="zh-CN"/>
              </w:rPr>
              <w:t>.</w:t>
            </w:r>
            <w:r>
              <w:rPr>
                <w:rFonts w:hint="eastAsia" w:hAnsi="宋体" w:cs="宋体"/>
                <w:color w:val="auto"/>
                <w:sz w:val="21"/>
                <w:szCs w:val="21"/>
              </w:rPr>
              <w:t>其他要求：法定代表人为同一个人的两个及两个以上法人，母公司、全资子公司及其控股公司，以及其他形式有资产关联关系的投标人，都不得在同一招标项目同一标段中同时投标。</w:t>
            </w:r>
          </w:p>
        </w:tc>
      </w:tr>
      <w:tr>
        <w:tblPrEx>
          <w:tblCellMar>
            <w:top w:w="0" w:type="dxa"/>
            <w:left w:w="0" w:type="dxa"/>
            <w:bottom w:w="0" w:type="dxa"/>
            <w:right w:w="0" w:type="dxa"/>
          </w:tblCellMar>
        </w:tblPrEx>
        <w:trPr>
          <w:trHeight w:val="497"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8</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资格审查方式</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资格后审</w:t>
            </w:r>
          </w:p>
        </w:tc>
      </w:tr>
      <w:tr>
        <w:tblPrEx>
          <w:tblCellMar>
            <w:top w:w="0" w:type="dxa"/>
            <w:left w:w="0" w:type="dxa"/>
            <w:bottom w:w="0" w:type="dxa"/>
            <w:right w:w="0" w:type="dxa"/>
          </w:tblCellMar>
        </w:tblPrEx>
        <w:trPr>
          <w:trHeight w:val="703"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9</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是否接受联合体参选</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本次比选不接受联合体比选申请。</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10</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限制参选的情形</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不符合相关法律法规及本次比选文件要求的情形。</w:t>
            </w:r>
          </w:p>
        </w:tc>
      </w:tr>
      <w:tr>
        <w:tblPrEx>
          <w:tblCellMar>
            <w:top w:w="0" w:type="dxa"/>
            <w:left w:w="0" w:type="dxa"/>
            <w:bottom w:w="0" w:type="dxa"/>
            <w:right w:w="0" w:type="dxa"/>
          </w:tblCellMar>
        </w:tblPrEx>
        <w:trPr>
          <w:trHeight w:val="594"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11</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比选预备会及现场踏勘</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比选预备会：不召开。</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现场踏勘：不组织，比选申请人可自行踏勘。</w:t>
            </w:r>
          </w:p>
        </w:tc>
      </w:tr>
      <w:tr>
        <w:tblPrEx>
          <w:tblCellMar>
            <w:top w:w="0" w:type="dxa"/>
            <w:left w:w="0" w:type="dxa"/>
            <w:bottom w:w="0" w:type="dxa"/>
            <w:right w:w="0" w:type="dxa"/>
          </w:tblCellMar>
        </w:tblPrEx>
        <w:trPr>
          <w:trHeight w:val="497"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r>
              <w:rPr>
                <w:rFonts w:hAnsi="宋体" w:cs="Calibri"/>
                <w:color w:val="auto"/>
                <w:sz w:val="21"/>
                <w:szCs w:val="21"/>
              </w:rPr>
              <w:t>2</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比选申请有效期</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60</w:t>
            </w:r>
            <w:r>
              <w:rPr>
                <w:rFonts w:hint="eastAsia" w:hAnsi="宋体" w:cs="宋体"/>
                <w:color w:val="auto"/>
                <w:sz w:val="21"/>
                <w:szCs w:val="21"/>
              </w:rPr>
              <w:t>个日历天（自比选申请递交截止日起）</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13</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比选申请文件格式</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1</w:t>
            </w:r>
            <w:r>
              <w:rPr>
                <w:rFonts w:hint="eastAsia" w:hAnsi="宋体" w:cs="宋体"/>
                <w:color w:val="auto"/>
                <w:sz w:val="21"/>
                <w:szCs w:val="21"/>
                <w:lang w:eastAsia="zh-CN"/>
              </w:rPr>
              <w:t>.</w:t>
            </w:r>
            <w:r>
              <w:rPr>
                <w:rFonts w:hint="eastAsia" w:hAnsi="宋体" w:cs="宋体"/>
                <w:color w:val="auto"/>
                <w:sz w:val="21"/>
                <w:szCs w:val="21"/>
              </w:rPr>
              <w:t>不得对比选文件格式中的内容进行实质性删减和修改。</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2</w:t>
            </w:r>
            <w:r>
              <w:rPr>
                <w:rFonts w:hint="eastAsia" w:hAnsi="宋体" w:cs="宋体"/>
                <w:color w:val="auto"/>
                <w:sz w:val="21"/>
                <w:szCs w:val="21"/>
                <w:lang w:eastAsia="zh-CN"/>
              </w:rPr>
              <w:t>.</w:t>
            </w:r>
            <w:r>
              <w:rPr>
                <w:rFonts w:hint="eastAsia" w:hAnsi="宋体" w:cs="宋体"/>
                <w:color w:val="auto"/>
                <w:sz w:val="21"/>
                <w:szCs w:val="21"/>
              </w:rPr>
              <w:t>比选申请人自行填写或增加的内容，不得与比选文件的强制性审查标准和禁止性规定相抵触。</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r>
              <w:rPr>
                <w:rFonts w:hAnsi="宋体" w:cs="Calibri"/>
                <w:color w:val="auto"/>
                <w:sz w:val="21"/>
                <w:szCs w:val="21"/>
              </w:rPr>
              <w:t>4</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签字或盖章要求</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1</w:t>
            </w:r>
            <w:r>
              <w:rPr>
                <w:rFonts w:hint="eastAsia" w:hAnsi="宋体" w:cs="宋体"/>
                <w:color w:val="auto"/>
                <w:sz w:val="21"/>
                <w:szCs w:val="21"/>
                <w:lang w:eastAsia="zh-CN"/>
              </w:rPr>
              <w:t>.</w:t>
            </w:r>
            <w:r>
              <w:rPr>
                <w:rFonts w:hint="eastAsia" w:hAnsi="宋体" w:cs="宋体"/>
                <w:color w:val="auto"/>
                <w:sz w:val="21"/>
                <w:szCs w:val="21"/>
              </w:rPr>
              <w:t>所有要求签字的地方都应用不褪色的墨水或签字笔由本人签字或盖签名章，不得由他人代签。</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2</w:t>
            </w:r>
            <w:r>
              <w:rPr>
                <w:rFonts w:hint="eastAsia" w:hAnsi="宋体" w:cs="宋体"/>
                <w:color w:val="auto"/>
                <w:sz w:val="21"/>
                <w:szCs w:val="21"/>
                <w:lang w:eastAsia="zh-CN"/>
              </w:rPr>
              <w:t>.</w:t>
            </w:r>
            <w:r>
              <w:rPr>
                <w:rFonts w:hint="eastAsia" w:hAnsi="宋体" w:cs="宋体"/>
                <w:color w:val="auto"/>
                <w:sz w:val="21"/>
                <w:szCs w:val="21"/>
              </w:rPr>
              <w:t>所有要求盖章的地方都应加盖比选申请人单位行政公章（鲜章），不得使用专用章或下属单位印章。</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3</w:t>
            </w:r>
            <w:r>
              <w:rPr>
                <w:rFonts w:hint="eastAsia" w:hAnsi="宋体" w:cs="宋体"/>
                <w:color w:val="auto"/>
                <w:sz w:val="21"/>
                <w:szCs w:val="21"/>
                <w:lang w:eastAsia="zh-CN"/>
              </w:rPr>
              <w:t>.</w:t>
            </w:r>
            <w:r>
              <w:rPr>
                <w:rFonts w:hint="eastAsia" w:hAnsi="宋体" w:cs="宋体"/>
                <w:color w:val="auto"/>
                <w:sz w:val="21"/>
                <w:szCs w:val="21"/>
              </w:rPr>
              <w:t>要求法定代表人或其委托代理人签字的位置，法定代表人亲自递交比选申请文件而不委托代理人递交比选申请文件的，由法定代表人签字；法定代表人授权委托代理人递交比选申请文件的，由委托代理人签字，并附法定代表人签署的授权委托书。</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4</w:t>
            </w:r>
            <w:r>
              <w:rPr>
                <w:rFonts w:hint="eastAsia" w:hAnsi="宋体" w:cs="宋体"/>
                <w:color w:val="auto"/>
                <w:sz w:val="21"/>
                <w:szCs w:val="21"/>
                <w:lang w:eastAsia="zh-CN"/>
              </w:rPr>
              <w:t>.</w:t>
            </w:r>
            <w:r>
              <w:rPr>
                <w:rFonts w:hint="eastAsia" w:hAnsi="宋体" w:cs="宋体"/>
                <w:color w:val="auto"/>
                <w:sz w:val="21"/>
                <w:szCs w:val="21"/>
              </w:rPr>
              <w:t>比选申请文件副本可以是正本复印件。</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r>
              <w:rPr>
                <w:rFonts w:hAnsi="宋体" w:cs="Calibri"/>
                <w:color w:val="auto"/>
                <w:sz w:val="21"/>
                <w:szCs w:val="21"/>
              </w:rPr>
              <w:t>5</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比选申请文件正副本份数</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正本一份，副本一份，配套电子文档</w:t>
            </w:r>
            <w:r>
              <w:rPr>
                <w:rFonts w:hAnsi="宋体" w:cs="宋体"/>
                <w:color w:val="auto"/>
                <w:sz w:val="21"/>
                <w:szCs w:val="21"/>
              </w:rPr>
              <w:t>1</w:t>
            </w:r>
            <w:r>
              <w:rPr>
                <w:rFonts w:hint="eastAsia" w:hAnsi="宋体" w:cs="宋体"/>
                <w:color w:val="auto"/>
                <w:sz w:val="21"/>
                <w:szCs w:val="21"/>
              </w:rPr>
              <w:t>份（</w:t>
            </w:r>
            <w:r>
              <w:rPr>
                <w:rFonts w:hAnsi="宋体" w:cs="宋体"/>
                <w:color w:val="auto"/>
                <w:sz w:val="21"/>
                <w:szCs w:val="21"/>
              </w:rPr>
              <w:t>U</w:t>
            </w:r>
            <w:r>
              <w:rPr>
                <w:rFonts w:hint="eastAsia" w:hAnsi="宋体" w:cs="宋体"/>
                <w:color w:val="auto"/>
                <w:sz w:val="21"/>
                <w:szCs w:val="21"/>
              </w:rPr>
              <w:t>盘）；</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正副本内容应一致，有不一致时，均以正本为准。</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r>
              <w:rPr>
                <w:rFonts w:hAnsi="宋体" w:cs="Calibri"/>
                <w:color w:val="auto"/>
                <w:sz w:val="21"/>
                <w:szCs w:val="21"/>
              </w:rPr>
              <w:t>6</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装订要求及密封</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1</w:t>
            </w:r>
            <w:r>
              <w:rPr>
                <w:rFonts w:hint="eastAsia" w:hAnsi="宋体" w:cs="宋体"/>
                <w:color w:val="auto"/>
                <w:sz w:val="21"/>
                <w:szCs w:val="21"/>
                <w:lang w:eastAsia="zh-CN"/>
              </w:rPr>
              <w:t>.</w:t>
            </w:r>
            <w:r>
              <w:rPr>
                <w:rFonts w:hint="eastAsia" w:hAnsi="宋体" w:cs="宋体"/>
                <w:color w:val="auto"/>
                <w:sz w:val="21"/>
                <w:szCs w:val="21"/>
              </w:rPr>
              <w:t>宜采用</w:t>
            </w:r>
            <w:r>
              <w:rPr>
                <w:rFonts w:hAnsi="宋体" w:cs="宋体"/>
                <w:color w:val="auto"/>
                <w:sz w:val="21"/>
                <w:szCs w:val="21"/>
              </w:rPr>
              <w:t>A4</w:t>
            </w:r>
            <w:r>
              <w:rPr>
                <w:rFonts w:hint="eastAsia" w:hAnsi="宋体" w:cs="宋体"/>
                <w:color w:val="auto"/>
                <w:sz w:val="21"/>
                <w:szCs w:val="21"/>
              </w:rPr>
              <w:t>纸打印，每</w:t>
            </w:r>
            <w:r>
              <w:rPr>
                <w:rFonts w:hint="eastAsia" w:hAnsi="宋体" w:cs="宋体"/>
                <w:color w:val="auto"/>
                <w:sz w:val="21"/>
                <w:szCs w:val="21"/>
                <w:lang w:val="en-US" w:eastAsia="zh-CN"/>
              </w:rPr>
              <w:t>套</w:t>
            </w:r>
            <w:r>
              <w:rPr>
                <w:rFonts w:hint="eastAsia" w:hAnsi="宋体" w:cs="宋体"/>
                <w:color w:val="auto"/>
                <w:sz w:val="21"/>
                <w:szCs w:val="21"/>
              </w:rPr>
              <w:t>比选申请文件单独装订一册，标明正、副本（不得采用活页夹等可拆换的装订方式）。</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2</w:t>
            </w:r>
            <w:r>
              <w:rPr>
                <w:rFonts w:hint="eastAsia" w:hAnsi="宋体" w:cs="宋体"/>
                <w:color w:val="auto"/>
                <w:sz w:val="21"/>
                <w:szCs w:val="21"/>
                <w:lang w:eastAsia="zh-CN"/>
              </w:rPr>
              <w:t>.</w:t>
            </w:r>
            <w:r>
              <w:rPr>
                <w:rFonts w:hint="eastAsia" w:hAnsi="宋体" w:cs="宋体"/>
                <w:color w:val="auto"/>
                <w:sz w:val="21"/>
                <w:szCs w:val="21"/>
              </w:rPr>
              <w:t>比选申请文件的正本与副本一并包装，加贴封条，并在封套的封口处加盖比选申请人单位行政公章。</w:t>
            </w:r>
          </w:p>
          <w:p>
            <w:pPr>
              <w:pStyle w:val="35"/>
              <w:spacing w:line="300" w:lineRule="auto"/>
              <w:ind w:left="120" w:leftChars="50" w:right="120" w:rightChars="50"/>
              <w:rPr>
                <w:rFonts w:hAnsi="宋体" w:cs="宋体"/>
                <w:color w:val="auto"/>
                <w:sz w:val="21"/>
                <w:szCs w:val="21"/>
              </w:rPr>
            </w:pPr>
            <w:r>
              <w:rPr>
                <w:rFonts w:hAnsi="宋体" w:cs="宋体"/>
                <w:color w:val="auto"/>
                <w:sz w:val="21"/>
                <w:szCs w:val="21"/>
              </w:rPr>
              <w:t>3</w:t>
            </w:r>
            <w:r>
              <w:rPr>
                <w:rFonts w:hint="eastAsia" w:hAnsi="宋体" w:cs="宋体"/>
                <w:color w:val="auto"/>
                <w:sz w:val="21"/>
                <w:szCs w:val="21"/>
                <w:lang w:eastAsia="zh-CN"/>
              </w:rPr>
              <w:t>.</w:t>
            </w:r>
            <w:r>
              <w:rPr>
                <w:rFonts w:hint="eastAsia" w:hAnsi="宋体" w:cs="宋体"/>
                <w:color w:val="auto"/>
                <w:sz w:val="21"/>
                <w:szCs w:val="21"/>
              </w:rPr>
              <w:t>比选申请文件封套上应写明：“</w:t>
            </w:r>
            <w:r>
              <w:rPr>
                <w:rFonts w:hAnsi="宋体" w:cs="宋体"/>
                <w:color w:val="auto"/>
                <w:sz w:val="21"/>
                <w:szCs w:val="21"/>
              </w:rPr>
              <w:t>XXXXXXX</w:t>
            </w:r>
            <w:r>
              <w:rPr>
                <w:rFonts w:hint="eastAsia" w:hAnsi="宋体" w:cs="宋体"/>
                <w:color w:val="auto"/>
                <w:sz w:val="21"/>
                <w:szCs w:val="21"/>
              </w:rPr>
              <w:t>项目比选申请文件”、比选申请人名称、“在</w:t>
            </w:r>
            <w:r>
              <w:rPr>
                <w:rFonts w:hAnsi="宋体" w:cs="宋体"/>
                <w:color w:val="auto"/>
                <w:sz w:val="21"/>
                <w:szCs w:val="21"/>
              </w:rPr>
              <w:t>20</w:t>
            </w:r>
            <w:r>
              <w:rPr>
                <w:rFonts w:hint="eastAsia" w:hAnsi="宋体" w:cs="宋体"/>
                <w:color w:val="auto"/>
                <w:sz w:val="21"/>
                <w:szCs w:val="21"/>
              </w:rPr>
              <w:t>21年</w:t>
            </w:r>
            <w:r>
              <w:rPr>
                <w:rFonts w:hAnsi="宋体" w:cs="宋体"/>
                <w:color w:val="auto"/>
                <w:sz w:val="21"/>
                <w:szCs w:val="21"/>
              </w:rPr>
              <w:t xml:space="preserve">  </w:t>
            </w:r>
            <w:r>
              <w:rPr>
                <w:rFonts w:hint="eastAsia" w:hAnsi="宋体" w:cs="宋体"/>
                <w:color w:val="auto"/>
                <w:sz w:val="21"/>
                <w:szCs w:val="21"/>
              </w:rPr>
              <w:t>月</w:t>
            </w:r>
            <w:r>
              <w:rPr>
                <w:rFonts w:hAnsi="宋体" w:cs="宋体"/>
                <w:color w:val="auto"/>
                <w:sz w:val="21"/>
                <w:szCs w:val="21"/>
              </w:rPr>
              <w:t xml:space="preserve">  </w:t>
            </w:r>
            <w:r>
              <w:rPr>
                <w:rFonts w:hint="eastAsia" w:hAnsi="宋体" w:cs="宋体"/>
                <w:color w:val="auto"/>
                <w:sz w:val="21"/>
                <w:szCs w:val="21"/>
              </w:rPr>
              <w:t>日</w:t>
            </w:r>
            <w:r>
              <w:rPr>
                <w:rFonts w:hAnsi="宋体" w:cs="宋体"/>
                <w:color w:val="auto"/>
                <w:sz w:val="21"/>
                <w:szCs w:val="21"/>
              </w:rPr>
              <w:t xml:space="preserve">  </w:t>
            </w:r>
            <w:r>
              <w:rPr>
                <w:rFonts w:hint="eastAsia" w:hAnsi="宋体" w:cs="宋体"/>
                <w:color w:val="auto"/>
                <w:sz w:val="21"/>
                <w:szCs w:val="21"/>
              </w:rPr>
              <w:t>时</w:t>
            </w:r>
            <w:r>
              <w:rPr>
                <w:rFonts w:hAnsi="宋体" w:cs="宋体"/>
                <w:color w:val="auto"/>
                <w:sz w:val="21"/>
                <w:szCs w:val="21"/>
              </w:rPr>
              <w:t xml:space="preserve">  </w:t>
            </w:r>
            <w:r>
              <w:rPr>
                <w:rFonts w:hint="eastAsia" w:hAnsi="宋体" w:cs="宋体"/>
                <w:color w:val="auto"/>
                <w:sz w:val="21"/>
                <w:szCs w:val="21"/>
              </w:rPr>
              <w:t>分前不得拆封”。密封处加盖比选申请人单位行政公章。</w:t>
            </w:r>
          </w:p>
        </w:tc>
      </w:tr>
      <w:tr>
        <w:tblPrEx>
          <w:tblCellMar>
            <w:top w:w="0" w:type="dxa"/>
            <w:left w:w="0" w:type="dxa"/>
            <w:bottom w:w="0" w:type="dxa"/>
            <w:right w:w="0" w:type="dxa"/>
          </w:tblCellMar>
        </w:tblPrEx>
        <w:trPr>
          <w:trHeight w:val="237"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1</w:t>
            </w:r>
            <w:r>
              <w:rPr>
                <w:rFonts w:hAnsi="宋体" w:cs="Calibri"/>
                <w:color w:val="auto"/>
                <w:sz w:val="21"/>
                <w:szCs w:val="21"/>
              </w:rPr>
              <w:t>7</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比选申请保证金</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w:t>
            </w:r>
          </w:p>
        </w:tc>
      </w:tr>
      <w:tr>
        <w:tblPrEx>
          <w:tblCellMar>
            <w:top w:w="0" w:type="dxa"/>
            <w:left w:w="0" w:type="dxa"/>
            <w:bottom w:w="0" w:type="dxa"/>
            <w:right w:w="0" w:type="dxa"/>
          </w:tblCellMar>
        </w:tblPrEx>
        <w:trPr>
          <w:trHeight w:val="289"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18</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Arial"/>
                <w:color w:val="auto"/>
                <w:sz w:val="21"/>
                <w:szCs w:val="21"/>
                <w:lang w:val="zh-CN"/>
              </w:rPr>
            </w:pPr>
            <w:r>
              <w:rPr>
                <w:rFonts w:hint="eastAsia" w:hAnsi="宋体" w:cs="宋体"/>
                <w:color w:val="auto"/>
                <w:sz w:val="21"/>
                <w:szCs w:val="21"/>
                <w:lang w:val="zh-CN"/>
              </w:rPr>
              <w:t>履约</w:t>
            </w:r>
            <w:r>
              <w:rPr>
                <w:rFonts w:hint="eastAsia" w:hAnsi="宋体" w:cs="宋体"/>
                <w:color w:val="auto"/>
                <w:sz w:val="21"/>
                <w:szCs w:val="21"/>
              </w:rPr>
              <w:t>担保</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Ansi="宋体" w:cs="宋体"/>
                <w:color w:val="auto"/>
                <w:sz w:val="21"/>
                <w:szCs w:val="21"/>
              </w:rPr>
              <w:t>/</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19</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比选申请保证金的退还</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int="eastAsia" w:hAnsi="宋体" w:eastAsia="宋体" w:cs="宋体"/>
                <w:color w:val="auto"/>
                <w:sz w:val="21"/>
                <w:szCs w:val="21"/>
                <w:lang w:eastAsia="zh-CN"/>
              </w:rPr>
            </w:pPr>
            <w:r>
              <w:rPr>
                <w:rFonts w:hAnsi="宋体" w:cs="宋体"/>
                <w:color w:val="auto"/>
                <w:sz w:val="21"/>
                <w:szCs w:val="21"/>
              </w:rPr>
              <w:t>/</w:t>
            </w:r>
          </w:p>
        </w:tc>
      </w:tr>
      <w:tr>
        <w:tblPrEx>
          <w:tblCellMar>
            <w:top w:w="0" w:type="dxa"/>
            <w:left w:w="0" w:type="dxa"/>
            <w:bottom w:w="0" w:type="dxa"/>
            <w:right w:w="0" w:type="dxa"/>
          </w:tblCellMar>
        </w:tblPrEx>
        <w:trPr>
          <w:trHeight w:val="497"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20</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比选申请保证金不予退还的情形</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both"/>
              <w:rPr>
                <w:rFonts w:hAnsi="宋体" w:cs="宋体"/>
                <w:color w:val="auto"/>
                <w:sz w:val="21"/>
                <w:szCs w:val="21"/>
              </w:rPr>
            </w:pPr>
            <w:r>
              <w:rPr>
                <w:rFonts w:hAnsi="宋体" w:cs="宋体"/>
                <w:color w:val="auto"/>
                <w:sz w:val="21"/>
                <w:szCs w:val="21"/>
              </w:rPr>
              <w:t>/</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1</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比选申请文件递交</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FF0000"/>
                <w:sz w:val="21"/>
                <w:szCs w:val="21"/>
              </w:rPr>
            </w:pPr>
            <w:r>
              <w:rPr>
                <w:rFonts w:hAnsi="宋体" w:cs="宋体"/>
                <w:color w:val="auto"/>
                <w:sz w:val="21"/>
                <w:szCs w:val="21"/>
              </w:rPr>
              <w:t>1</w:t>
            </w:r>
            <w:r>
              <w:rPr>
                <w:rFonts w:hint="eastAsia" w:hAnsi="宋体" w:cs="宋体"/>
                <w:color w:val="auto"/>
                <w:sz w:val="21"/>
                <w:szCs w:val="21"/>
                <w:lang w:val="en-US" w:eastAsia="zh-CN"/>
              </w:rPr>
              <w:t>.</w:t>
            </w:r>
            <w:r>
              <w:rPr>
                <w:rFonts w:hint="eastAsia" w:hAnsi="宋体" w:cs="宋体"/>
                <w:color w:val="auto"/>
                <w:sz w:val="21"/>
                <w:szCs w:val="21"/>
              </w:rPr>
              <w:t>递交截止时间：</w:t>
            </w:r>
            <w:r>
              <w:rPr>
                <w:rFonts w:hAnsi="宋体" w:cs="宋体"/>
                <w:color w:val="auto"/>
                <w:sz w:val="21"/>
                <w:szCs w:val="21"/>
              </w:rPr>
              <w:t>2021</w:t>
            </w:r>
            <w:r>
              <w:rPr>
                <w:rFonts w:hint="eastAsia" w:hAnsi="宋体" w:cs="宋体"/>
                <w:color w:val="auto"/>
                <w:sz w:val="21"/>
                <w:szCs w:val="21"/>
              </w:rPr>
              <w:t>年</w:t>
            </w:r>
            <w:r>
              <w:rPr>
                <w:rFonts w:hint="eastAsia" w:hAnsi="宋体" w:cs="宋体"/>
                <w:color w:val="auto"/>
                <w:sz w:val="21"/>
                <w:szCs w:val="21"/>
                <w:lang w:val="en-US" w:eastAsia="zh-CN"/>
              </w:rPr>
              <w:t>9</w:t>
            </w:r>
            <w:r>
              <w:rPr>
                <w:rFonts w:hint="eastAsia" w:hAnsi="宋体" w:cs="宋体"/>
                <w:color w:val="auto"/>
                <w:sz w:val="21"/>
                <w:szCs w:val="21"/>
              </w:rPr>
              <w:t>月</w:t>
            </w:r>
            <w:r>
              <w:rPr>
                <w:rFonts w:hint="eastAsia" w:hAnsi="宋体" w:cs="宋体"/>
                <w:color w:val="auto"/>
                <w:sz w:val="21"/>
                <w:szCs w:val="21"/>
                <w:lang w:val="en-US" w:eastAsia="zh-CN"/>
              </w:rPr>
              <w:t>22</w:t>
            </w:r>
            <w:r>
              <w:rPr>
                <w:rFonts w:hint="eastAsia" w:hAnsi="宋体" w:cs="宋体"/>
                <w:color w:val="auto"/>
                <w:sz w:val="21"/>
                <w:szCs w:val="21"/>
              </w:rPr>
              <w:t>日</w:t>
            </w:r>
            <w:r>
              <w:rPr>
                <w:rFonts w:hint="eastAsia" w:hAnsi="宋体" w:cs="宋体"/>
                <w:color w:val="auto"/>
                <w:sz w:val="21"/>
                <w:szCs w:val="21"/>
                <w:lang w:val="en-US" w:eastAsia="zh-CN"/>
              </w:rPr>
              <w:t>10</w:t>
            </w:r>
            <w:r>
              <w:rPr>
                <w:rFonts w:hint="eastAsia" w:hAnsi="宋体" w:cs="宋体"/>
                <w:color w:val="auto"/>
                <w:sz w:val="21"/>
                <w:szCs w:val="21"/>
              </w:rPr>
              <w:t>时</w:t>
            </w:r>
          </w:p>
          <w:p>
            <w:pPr>
              <w:pStyle w:val="35"/>
              <w:spacing w:line="300" w:lineRule="auto"/>
              <w:ind w:left="120" w:leftChars="50" w:right="120" w:rightChars="50"/>
              <w:rPr>
                <w:rFonts w:hint="default" w:hAnsi="宋体" w:eastAsia="宋体" w:cs="宋体"/>
                <w:color w:val="auto"/>
                <w:sz w:val="21"/>
                <w:szCs w:val="21"/>
                <w:lang w:val="en-US" w:eastAsia="zh-CN"/>
              </w:rPr>
            </w:pPr>
            <w:r>
              <w:rPr>
                <w:rFonts w:hAnsi="宋体" w:cs="宋体"/>
                <w:color w:val="auto"/>
                <w:sz w:val="21"/>
                <w:szCs w:val="21"/>
              </w:rPr>
              <w:t>2</w:t>
            </w:r>
            <w:r>
              <w:rPr>
                <w:rFonts w:hint="eastAsia" w:hAnsi="宋体" w:cs="宋体"/>
                <w:color w:val="auto"/>
                <w:sz w:val="21"/>
                <w:szCs w:val="21"/>
                <w:lang w:eastAsia="zh-CN"/>
              </w:rPr>
              <w:t>.</w:t>
            </w:r>
            <w:r>
              <w:rPr>
                <w:rFonts w:hint="eastAsia" w:hAnsi="宋体" w:cs="宋体"/>
                <w:color w:val="auto"/>
                <w:sz w:val="21"/>
                <w:szCs w:val="21"/>
              </w:rPr>
              <w:t>递交地址：</w:t>
            </w:r>
            <w:r>
              <w:rPr>
                <w:rFonts w:hint="eastAsia" w:hAnsi="宋体" w:cs="宋体"/>
                <w:color w:val="auto"/>
                <w:sz w:val="21"/>
                <w:szCs w:val="21"/>
                <w:lang w:val="en-US" w:eastAsia="zh-CN"/>
              </w:rPr>
              <w:t>锦江区三色路199号五冶大厦A区13楼</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2</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是否允许递交备选申请方案</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不允许</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3</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Arial"/>
                <w:color w:val="auto"/>
                <w:sz w:val="21"/>
                <w:szCs w:val="21"/>
                <w:lang w:val="zh-CN"/>
              </w:rPr>
            </w:pPr>
            <w:r>
              <w:rPr>
                <w:rFonts w:hint="eastAsia" w:hAnsi="宋体" w:cs="宋体"/>
                <w:color w:val="auto"/>
                <w:sz w:val="21"/>
                <w:szCs w:val="21"/>
                <w:lang w:val="zh-CN"/>
              </w:rPr>
              <w:t>是否退还比选申请文件</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否</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4</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Arial"/>
                <w:color w:val="auto"/>
                <w:sz w:val="21"/>
                <w:szCs w:val="21"/>
                <w:lang w:val="zh-CN"/>
              </w:rPr>
            </w:pPr>
            <w:r>
              <w:rPr>
                <w:rFonts w:hint="eastAsia" w:hAnsi="宋体" w:cs="宋体"/>
                <w:color w:val="auto"/>
                <w:sz w:val="21"/>
                <w:szCs w:val="21"/>
                <w:lang w:val="zh-CN"/>
              </w:rPr>
              <w:t>评审委员会的组建</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评审委员会由比选人依法组建，由</w:t>
            </w:r>
            <w:r>
              <w:rPr>
                <w:rFonts w:hAnsi="宋体" w:cs="宋体"/>
                <w:color w:val="auto"/>
                <w:sz w:val="21"/>
                <w:szCs w:val="21"/>
              </w:rPr>
              <w:t>3</w:t>
            </w:r>
            <w:r>
              <w:rPr>
                <w:rFonts w:hint="eastAsia" w:hAnsi="宋体" w:cs="宋体"/>
                <w:color w:val="auto"/>
                <w:sz w:val="21"/>
                <w:szCs w:val="21"/>
              </w:rPr>
              <w:t>人及以上单数组成。</w:t>
            </w:r>
          </w:p>
        </w:tc>
      </w:tr>
      <w:tr>
        <w:tblPrEx>
          <w:tblCellMar>
            <w:top w:w="0" w:type="dxa"/>
            <w:left w:w="0" w:type="dxa"/>
            <w:bottom w:w="0" w:type="dxa"/>
            <w:right w:w="0" w:type="dxa"/>
          </w:tblCellMar>
        </w:tblPrEx>
        <w:trPr>
          <w:trHeight w:val="613"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5</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评审办法</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综合评估法（见第三章“评审办法”）。</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6</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Arial"/>
                <w:color w:val="auto"/>
                <w:sz w:val="21"/>
                <w:szCs w:val="21"/>
                <w:lang w:val="zh-CN"/>
              </w:rPr>
            </w:pPr>
            <w:r>
              <w:rPr>
                <w:rFonts w:hint="eastAsia" w:hAnsi="宋体" w:cs="宋体"/>
                <w:color w:val="auto"/>
                <w:sz w:val="21"/>
                <w:szCs w:val="21"/>
                <w:lang w:val="zh-CN"/>
              </w:rPr>
              <w:t>是否授权评审委员会确定中选人</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否</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lang w:val="zh-CN"/>
              </w:rPr>
              <w:t>2</w:t>
            </w:r>
            <w:r>
              <w:rPr>
                <w:rFonts w:hAnsi="宋体" w:cs="Calibri"/>
                <w:color w:val="auto"/>
                <w:sz w:val="21"/>
                <w:szCs w:val="21"/>
              </w:rPr>
              <w:t>7</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比选人确定中选候选人数量</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推荐的成交候选人数：</w:t>
            </w:r>
            <w:r>
              <w:rPr>
                <w:rFonts w:hAnsi="宋体" w:cs="宋体"/>
                <w:color w:val="auto"/>
                <w:sz w:val="21"/>
                <w:szCs w:val="21"/>
              </w:rPr>
              <w:t>1-3</w:t>
            </w:r>
            <w:r>
              <w:rPr>
                <w:rFonts w:hint="eastAsia" w:hAnsi="宋体" w:cs="宋体"/>
                <w:color w:val="auto"/>
                <w:sz w:val="21"/>
                <w:szCs w:val="21"/>
              </w:rPr>
              <w:t>名</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lang w:val="zh-CN"/>
              </w:rPr>
            </w:pPr>
            <w:r>
              <w:rPr>
                <w:rFonts w:hAnsi="宋体" w:cs="Calibri"/>
                <w:color w:val="auto"/>
                <w:sz w:val="21"/>
                <w:szCs w:val="21"/>
              </w:rPr>
              <w:t>28</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比选报价</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只能有一个有效比选报价。即：</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w:t>
            </w:r>
            <w:r>
              <w:rPr>
                <w:rFonts w:hAnsi="宋体" w:cs="宋体"/>
                <w:color w:val="auto"/>
                <w:sz w:val="21"/>
                <w:szCs w:val="21"/>
              </w:rPr>
              <w:t>1</w:t>
            </w:r>
            <w:r>
              <w:rPr>
                <w:rFonts w:hint="eastAsia" w:hAnsi="宋体" w:cs="宋体"/>
                <w:color w:val="auto"/>
                <w:sz w:val="21"/>
                <w:szCs w:val="21"/>
              </w:rPr>
              <w:t>）单价和总价都只允许有一个报价，任何有选择和保留的报价将不予接受。</w:t>
            </w:r>
          </w:p>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w:t>
            </w:r>
            <w:r>
              <w:rPr>
                <w:rFonts w:hAnsi="宋体" w:cs="宋体"/>
                <w:color w:val="auto"/>
                <w:sz w:val="21"/>
                <w:szCs w:val="21"/>
              </w:rPr>
              <w:t>2</w:t>
            </w:r>
            <w:r>
              <w:rPr>
                <w:rFonts w:hint="eastAsia" w:hAnsi="宋体" w:cs="宋体"/>
                <w:color w:val="auto"/>
                <w:sz w:val="21"/>
                <w:szCs w:val="21"/>
              </w:rPr>
              <w:t>）任何高于比选控制价的报价将被作为废标处理；</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29</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b/>
                <w:color w:val="auto"/>
                <w:sz w:val="21"/>
                <w:szCs w:val="21"/>
                <w:lang w:val="zh-CN"/>
              </w:rPr>
            </w:pPr>
            <w:r>
              <w:rPr>
                <w:rFonts w:hint="eastAsia" w:hAnsi="宋体" w:cs="宋体"/>
                <w:b/>
                <w:color w:val="auto"/>
                <w:sz w:val="21"/>
                <w:szCs w:val="21"/>
                <w:lang w:val="zh-CN"/>
              </w:rPr>
              <w:t>报价说明</w:t>
            </w:r>
          </w:p>
        </w:tc>
        <w:tc>
          <w:tcPr>
            <w:tcW w:w="5777" w:type="dxa"/>
            <w:tcBorders>
              <w:top w:val="single" w:color="auto" w:sz="4" w:space="0"/>
              <w:left w:val="single" w:color="auto" w:sz="4" w:space="0"/>
              <w:bottom w:val="single" w:color="auto" w:sz="4" w:space="0"/>
              <w:right w:val="single" w:color="auto" w:sz="4" w:space="0"/>
            </w:tcBorders>
            <w:vAlign w:val="center"/>
          </w:tcPr>
          <w:p>
            <w:pPr>
              <w:spacing w:line="300" w:lineRule="auto"/>
              <w:ind w:left="120" w:leftChars="50" w:right="120" w:rightChars="50" w:firstLine="0" w:firstLineChars="0"/>
              <w:rPr>
                <w:rFonts w:ascii="宋体" w:cs="宋体"/>
                <w:color w:val="auto"/>
                <w:kern w:val="0"/>
                <w:sz w:val="21"/>
                <w:szCs w:val="21"/>
              </w:rPr>
            </w:pPr>
            <w:r>
              <w:rPr>
                <w:rFonts w:hint="eastAsia" w:ascii="宋体" w:hAnsi="宋体" w:cs="宋体"/>
                <w:color w:val="auto"/>
                <w:kern w:val="0"/>
                <w:sz w:val="21"/>
                <w:szCs w:val="21"/>
              </w:rPr>
              <w:t>商品单价应包括供应商品设计、制作、运输、保管、税费、配送途中的风险费用等和比选文件规定应由比选申请人承担的一切费用。</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30</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b/>
                <w:color w:val="auto"/>
                <w:sz w:val="21"/>
                <w:szCs w:val="21"/>
                <w:lang w:val="zh-CN"/>
              </w:rPr>
            </w:pPr>
            <w:r>
              <w:rPr>
                <w:rFonts w:hint="eastAsia" w:hAnsi="宋体" w:cs="宋体"/>
                <w:b/>
                <w:color w:val="auto"/>
                <w:sz w:val="21"/>
                <w:szCs w:val="21"/>
                <w:lang w:val="zh-CN"/>
              </w:rPr>
              <w:t>比选控制价</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int="eastAsia" w:hAnsi="宋体" w:eastAsia="宋体" w:cs="宋体"/>
                <w:color w:val="auto"/>
                <w:sz w:val="21"/>
                <w:szCs w:val="21"/>
                <w:lang w:eastAsia="zh-CN"/>
              </w:rPr>
            </w:pPr>
            <w:r>
              <w:rPr>
                <w:rFonts w:hint="eastAsia" w:hAnsi="宋体" w:cs="宋体"/>
                <w:color w:val="auto"/>
                <w:sz w:val="21"/>
                <w:szCs w:val="21"/>
                <w:highlight w:val="none"/>
                <w:lang w:val="en-US" w:eastAsia="zh-CN"/>
              </w:rPr>
              <w:t>比选控制价12</w:t>
            </w:r>
            <w:r>
              <w:rPr>
                <w:rFonts w:hint="eastAsia" w:hAnsi="宋体" w:cs="宋体"/>
                <w:color w:val="auto"/>
                <w:sz w:val="21"/>
                <w:szCs w:val="21"/>
                <w:highlight w:val="none"/>
              </w:rPr>
              <w:t>万元</w:t>
            </w:r>
            <w:r>
              <w:rPr>
                <w:rFonts w:hint="eastAsia" w:hAnsi="宋体" w:cs="宋体"/>
                <w:color w:val="auto"/>
                <w:sz w:val="21"/>
                <w:szCs w:val="21"/>
                <w:highlight w:val="none"/>
                <w:lang w:eastAsia="zh-CN"/>
              </w:rPr>
              <w:t>。</w:t>
            </w:r>
          </w:p>
        </w:tc>
      </w:tr>
      <w:tr>
        <w:tblPrEx>
          <w:tblCellMar>
            <w:top w:w="0" w:type="dxa"/>
            <w:left w:w="0" w:type="dxa"/>
            <w:bottom w:w="0" w:type="dxa"/>
            <w:right w:w="0" w:type="dxa"/>
          </w:tblCellMar>
        </w:tblPrEx>
        <w:trPr>
          <w:trHeight w:val="20"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31</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lang w:val="zh-CN"/>
              </w:rPr>
            </w:pPr>
            <w:r>
              <w:rPr>
                <w:rFonts w:hint="eastAsia" w:hAnsi="宋体" w:cs="宋体"/>
                <w:color w:val="auto"/>
                <w:sz w:val="21"/>
                <w:szCs w:val="21"/>
                <w:lang w:val="zh-CN"/>
              </w:rPr>
              <w:t>比选申请文件的真实性要求</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Ansi="宋体" w:cs="宋体"/>
                <w:color w:val="auto"/>
                <w:sz w:val="21"/>
                <w:szCs w:val="21"/>
              </w:rPr>
            </w:pPr>
            <w:r>
              <w:rPr>
                <w:rFonts w:hint="eastAsia" w:hAnsi="宋体" w:cs="宋体"/>
                <w:color w:val="auto"/>
                <w:sz w:val="21"/>
                <w:szCs w:val="21"/>
              </w:rPr>
              <w:t>比选申请人递交的比选申请文件</w:t>
            </w:r>
            <w:r>
              <w:rPr>
                <w:rFonts w:hAnsi="宋体" w:cs="宋体"/>
                <w:color w:val="auto"/>
                <w:sz w:val="21"/>
                <w:szCs w:val="21"/>
              </w:rPr>
              <w:t>(</w:t>
            </w:r>
            <w:r>
              <w:rPr>
                <w:rFonts w:hint="eastAsia" w:hAnsi="宋体" w:cs="宋体"/>
                <w:color w:val="auto"/>
                <w:sz w:val="21"/>
                <w:szCs w:val="21"/>
              </w:rPr>
              <w:t>包括有关资料、澄清</w:t>
            </w:r>
            <w:r>
              <w:rPr>
                <w:rFonts w:hAnsi="宋体" w:cs="宋体"/>
                <w:color w:val="auto"/>
                <w:sz w:val="21"/>
                <w:szCs w:val="21"/>
              </w:rPr>
              <w:t>)</w:t>
            </w:r>
            <w:r>
              <w:rPr>
                <w:rFonts w:hint="eastAsia" w:hAnsi="宋体" w:cs="宋体"/>
                <w:color w:val="auto"/>
                <w:sz w:val="21"/>
                <w:szCs w:val="21"/>
              </w:rPr>
              <w:t>应真实可信，不存在虚假</w:t>
            </w:r>
            <w:r>
              <w:rPr>
                <w:rFonts w:hAnsi="宋体" w:cs="宋体"/>
                <w:color w:val="auto"/>
                <w:sz w:val="21"/>
                <w:szCs w:val="21"/>
              </w:rPr>
              <w:t>(</w:t>
            </w:r>
            <w:r>
              <w:rPr>
                <w:rFonts w:hint="eastAsia" w:hAnsi="宋体" w:cs="宋体"/>
                <w:color w:val="auto"/>
                <w:sz w:val="21"/>
                <w:szCs w:val="21"/>
              </w:rPr>
              <w:t>包括隐瞒</w:t>
            </w:r>
            <w:r>
              <w:rPr>
                <w:rFonts w:hAnsi="宋体" w:cs="宋体"/>
                <w:color w:val="auto"/>
                <w:sz w:val="21"/>
                <w:szCs w:val="21"/>
              </w:rPr>
              <w:t>)</w:t>
            </w:r>
            <w:r>
              <w:rPr>
                <w:rFonts w:hint="eastAsia" w:hAnsi="宋体" w:cs="宋体"/>
                <w:color w:val="auto"/>
                <w:sz w:val="21"/>
                <w:szCs w:val="21"/>
              </w:rPr>
              <w:t>。</w:t>
            </w:r>
          </w:p>
          <w:p>
            <w:pPr>
              <w:pStyle w:val="35"/>
              <w:spacing w:line="300" w:lineRule="auto"/>
              <w:ind w:left="120" w:leftChars="50" w:right="120" w:rightChars="50"/>
              <w:rPr>
                <w:rFonts w:hAnsi="宋体" w:cs="宋体"/>
                <w:b/>
                <w:color w:val="auto"/>
                <w:sz w:val="21"/>
                <w:szCs w:val="21"/>
                <w:u w:val="single"/>
              </w:rPr>
            </w:pPr>
            <w:r>
              <w:rPr>
                <w:rFonts w:hint="eastAsia" w:hAnsi="宋体" w:cs="宋体"/>
                <w:color w:val="auto"/>
                <w:sz w:val="21"/>
                <w:szCs w:val="21"/>
              </w:rPr>
              <w:t>比选人对比选申请人提供比选文件的真实性进行核实，比选申请人必须提供相关证明资料原件。如比选申请文件存在虚假，在必选评定阶段，必选评定委员会应将其该比选申请文件作否决比选申请处理；中选人确定后发现的，比选人可以取消中选资格。</w:t>
            </w:r>
          </w:p>
        </w:tc>
      </w:tr>
      <w:tr>
        <w:tblPrEx>
          <w:tblCellMar>
            <w:top w:w="0" w:type="dxa"/>
            <w:left w:w="0" w:type="dxa"/>
            <w:bottom w:w="0" w:type="dxa"/>
            <w:right w:w="0" w:type="dxa"/>
          </w:tblCellMar>
        </w:tblPrEx>
        <w:trPr>
          <w:trHeight w:val="762" w:hRule="atLeast"/>
        </w:trPr>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Calibri"/>
                <w:color w:val="auto"/>
                <w:sz w:val="21"/>
                <w:szCs w:val="21"/>
              </w:rPr>
            </w:pPr>
            <w:r>
              <w:rPr>
                <w:rFonts w:hAnsi="宋体" w:cs="Calibri"/>
                <w:color w:val="auto"/>
                <w:sz w:val="21"/>
                <w:szCs w:val="21"/>
              </w:rPr>
              <w:t>32</w:t>
            </w:r>
          </w:p>
        </w:tc>
        <w:tc>
          <w:tcPr>
            <w:tcW w:w="2430"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jc w:val="center"/>
              <w:rPr>
                <w:rFonts w:hAnsi="宋体" w:cs="宋体"/>
                <w:color w:val="auto"/>
                <w:sz w:val="21"/>
                <w:szCs w:val="21"/>
              </w:rPr>
            </w:pPr>
            <w:r>
              <w:rPr>
                <w:rFonts w:hint="eastAsia" w:hAnsi="宋体" w:cs="宋体"/>
                <w:color w:val="auto"/>
                <w:sz w:val="21"/>
                <w:szCs w:val="21"/>
              </w:rPr>
              <w:t>代理服务费</w:t>
            </w:r>
          </w:p>
        </w:tc>
        <w:tc>
          <w:tcPr>
            <w:tcW w:w="5777" w:type="dxa"/>
            <w:tcBorders>
              <w:top w:val="single" w:color="auto" w:sz="4" w:space="0"/>
              <w:left w:val="single" w:color="auto" w:sz="4" w:space="0"/>
              <w:bottom w:val="single" w:color="auto" w:sz="4" w:space="0"/>
              <w:right w:val="single" w:color="auto" w:sz="4" w:space="0"/>
            </w:tcBorders>
            <w:vAlign w:val="center"/>
          </w:tcPr>
          <w:p>
            <w:pPr>
              <w:pStyle w:val="35"/>
              <w:spacing w:line="300" w:lineRule="auto"/>
              <w:ind w:left="120" w:leftChars="50" w:right="120" w:rightChars="50"/>
              <w:rPr>
                <w:rFonts w:hint="default" w:hAnsi="宋体" w:eastAsia="宋体" w:cs="宋体"/>
                <w:color w:val="auto"/>
                <w:sz w:val="21"/>
                <w:szCs w:val="21"/>
                <w:lang w:val="en-US" w:eastAsia="zh-CN"/>
              </w:rPr>
            </w:pPr>
            <w:r>
              <w:rPr>
                <w:rFonts w:hint="eastAsia" w:hAnsi="宋体" w:cs="宋体"/>
                <w:color w:val="auto"/>
                <w:sz w:val="21"/>
                <w:szCs w:val="21"/>
                <w:lang w:val="en-US" w:eastAsia="zh-CN"/>
              </w:rPr>
              <w:t>/</w:t>
            </w:r>
          </w:p>
        </w:tc>
      </w:tr>
    </w:tbl>
    <w:p>
      <w:pPr>
        <w:pStyle w:val="2"/>
        <w:numPr>
          <w:ilvl w:val="0"/>
          <w:numId w:val="0"/>
        </w:numPr>
        <w:spacing w:before="156" w:after="156"/>
        <w:rPr>
          <w:color w:val="auto"/>
        </w:rPr>
      </w:pPr>
      <w:bookmarkStart w:id="59" w:name="_总则"/>
      <w:bookmarkEnd w:id="59"/>
      <w:bookmarkStart w:id="60" w:name="_Toc454834930"/>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r>
        <w:rPr>
          <w:rFonts w:hint="eastAsia"/>
          <w:color w:val="auto"/>
        </w:rPr>
        <w:t>总则</w:t>
      </w:r>
      <w:bookmarkEnd w:id="60"/>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r>
        <w:rPr>
          <w:rFonts w:hint="eastAsia" w:ascii="宋体" w:hAnsi="宋体"/>
          <w:b/>
          <w:color w:val="auto"/>
          <w:lang w:val="zh-CN"/>
        </w:rPr>
        <w:t>词语定义</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比选：比选人按规定实行服务委托前，公布条件和要求，服务单位提出申请，比选人按规定的程序和条件确定中选人的行为。</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比选人：指通过比选确定服务的单位。</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比选文件：由比选人按规定对服务单位及其申请提出条件和要求。</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比选申请人：在规定时间内报名并购买比选文件的服务单位。</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比选申请文件：指比选申请人为响应比选人之比选文件的条件和要求而按规定格式编制的比选申请文件。</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中选：指比选人按规定的程序和要求，对服务单位的比选申请文件进行评比，最终确定服务单位的行为。</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中选人：在评审委员会推荐的中选候选人中，经比选人确定的服务单位。</w:t>
      </w:r>
    </w:p>
    <w:p>
      <w:pPr>
        <w:pageBreakBefore w:val="0"/>
        <w:numPr>
          <w:ilvl w:val="1"/>
          <w:numId w:val="1"/>
        </w:numPr>
        <w:kinsoku/>
        <w:wordWrap/>
        <w:overflowPunct/>
        <w:topLinePunct w:val="0"/>
        <w:autoSpaceDE/>
        <w:autoSpaceDN/>
        <w:bidi w:val="0"/>
        <w:snapToGrid/>
        <w:spacing w:line="440" w:lineRule="exact"/>
        <w:ind w:firstLine="480"/>
        <w:rPr>
          <w:rFonts w:ascii="宋体"/>
          <w:color w:val="auto"/>
          <w:lang w:val="zh-CN"/>
        </w:rPr>
      </w:pPr>
      <w:r>
        <w:rPr>
          <w:rFonts w:hint="eastAsia" w:ascii="宋体" w:hAnsi="宋体"/>
          <w:color w:val="auto"/>
          <w:lang w:val="zh-CN"/>
        </w:rPr>
        <w:t>书面函件：指打印或印刷的函件，包括传真。</w:t>
      </w:r>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bookmarkStart w:id="61" w:name="_Toc184283911"/>
      <w:bookmarkStart w:id="62" w:name="_Toc500402880"/>
      <w:r>
        <w:rPr>
          <w:rFonts w:hint="eastAsia" w:ascii="宋体" w:hAnsi="宋体"/>
          <w:b/>
          <w:color w:val="auto"/>
          <w:lang w:val="zh-CN"/>
        </w:rPr>
        <w:t>比选范围</w:t>
      </w:r>
      <w:bookmarkEnd w:id="61"/>
      <w:bookmarkEnd w:id="62"/>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见比选申请人须知前附表。</w:t>
      </w:r>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r>
        <w:rPr>
          <w:rFonts w:hint="eastAsia" w:ascii="宋体" w:hAnsi="宋体"/>
          <w:b/>
          <w:color w:val="auto"/>
          <w:lang w:val="zh-CN"/>
        </w:rPr>
        <w:t>比选申请人资格要求</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见比选申请人须知前附表。</w:t>
      </w:r>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bookmarkStart w:id="63" w:name="_Toc500402885"/>
      <w:bookmarkStart w:id="64" w:name="_Toc184283916"/>
      <w:r>
        <w:rPr>
          <w:rFonts w:hint="eastAsia" w:ascii="宋体" w:hAnsi="宋体"/>
          <w:b/>
          <w:color w:val="auto"/>
          <w:lang w:val="zh-CN"/>
        </w:rPr>
        <w:t>费用承担</w:t>
      </w:r>
      <w:bookmarkEnd w:id="63"/>
      <w:bookmarkEnd w:id="64"/>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比选申请人准备和参加比选申请活动发生的费用自理。</w:t>
      </w:r>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bookmarkStart w:id="65" w:name="_Toc184283917"/>
      <w:bookmarkStart w:id="66" w:name="_Toc500402886"/>
      <w:r>
        <w:rPr>
          <w:rFonts w:hint="eastAsia" w:ascii="宋体" w:hAnsi="宋体"/>
          <w:b/>
          <w:color w:val="auto"/>
          <w:lang w:val="zh-CN"/>
        </w:rPr>
        <w:t>保密</w:t>
      </w:r>
      <w:bookmarkEnd w:id="65"/>
      <w:bookmarkEnd w:id="66"/>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参与比选申请活动的各方应对比选文件和</w:t>
      </w:r>
      <w:r>
        <w:rPr>
          <w:rFonts w:hint="eastAsia" w:ascii="宋体" w:hAnsi="宋体"/>
          <w:color w:val="auto"/>
          <w:lang w:val="zh-CN"/>
        </w:rPr>
        <w:t>比选申请文件</w:t>
      </w:r>
      <w:r>
        <w:rPr>
          <w:rFonts w:hint="eastAsia" w:ascii="宋体" w:hAnsi="宋体"/>
          <w:color w:val="auto"/>
        </w:rPr>
        <w:t>中的商业和技术等秘密保密，违者应对由此造成的后果承担法律责任。</w:t>
      </w:r>
      <w:bookmarkStart w:id="67" w:name="_Toc184283918"/>
      <w:bookmarkStart w:id="68" w:name="_Toc500402887"/>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r>
        <w:rPr>
          <w:rFonts w:hint="eastAsia" w:ascii="宋体" w:hAnsi="宋体"/>
          <w:b/>
          <w:color w:val="auto"/>
          <w:lang w:val="zh-CN"/>
        </w:rPr>
        <w:t>语言文字</w:t>
      </w:r>
      <w:bookmarkEnd w:id="67"/>
      <w:bookmarkEnd w:id="68"/>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除专用术语外，相关文字均使用中文。必要时专用术语应附有中文注释。</w:t>
      </w:r>
    </w:p>
    <w:p>
      <w:pPr>
        <w:pageBreakBefore w:val="0"/>
        <w:numPr>
          <w:ilvl w:val="0"/>
          <w:numId w:val="2"/>
        </w:numPr>
        <w:kinsoku/>
        <w:wordWrap/>
        <w:overflowPunct/>
        <w:topLinePunct w:val="0"/>
        <w:autoSpaceDE/>
        <w:autoSpaceDN/>
        <w:bidi w:val="0"/>
        <w:snapToGrid/>
        <w:spacing w:line="440" w:lineRule="exact"/>
        <w:ind w:firstLine="482"/>
        <w:rPr>
          <w:rFonts w:ascii="宋体"/>
          <w:b/>
          <w:color w:val="auto"/>
          <w:lang w:val="zh-CN"/>
        </w:rPr>
      </w:pPr>
      <w:r>
        <w:rPr>
          <w:rFonts w:hint="eastAsia" w:ascii="宋体" w:hAnsi="宋体"/>
          <w:b/>
          <w:color w:val="auto"/>
          <w:lang w:val="zh-CN"/>
        </w:rPr>
        <w:t>比选程序</w:t>
      </w:r>
    </w:p>
    <w:p>
      <w:pPr>
        <w:pageBreakBefore w:val="0"/>
        <w:kinsoku/>
        <w:wordWrap/>
        <w:overflowPunct/>
        <w:topLinePunct w:val="0"/>
        <w:autoSpaceDE/>
        <w:autoSpaceDN/>
        <w:bidi w:val="0"/>
        <w:snapToGrid/>
        <w:spacing w:line="440" w:lineRule="exact"/>
        <w:ind w:firstLine="480"/>
        <w:rPr>
          <w:rFonts w:ascii="宋体"/>
          <w:color w:val="auto"/>
        </w:rPr>
      </w:pPr>
      <w:bookmarkStart w:id="69" w:name="_招标文件"/>
      <w:bookmarkEnd w:id="69"/>
      <w:bookmarkStart w:id="70" w:name="_Toc184274917"/>
      <w:bookmarkStart w:id="71" w:name="_Toc500402893"/>
      <w:bookmarkStart w:id="72" w:name="_Toc184283924"/>
      <w:r>
        <w:rPr>
          <w:rFonts w:hint="eastAsia" w:ascii="宋体" w:hAnsi="宋体"/>
          <w:color w:val="auto"/>
        </w:rPr>
        <w:t>比选人有权不对比选申请人未中选情况作任何解释。</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比选申请人应仔细阅读比选文件，因对比选文件的不同理解致使比选申请文件不符合比选文件要求，其责任由比选申请人自担。</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比选人通过比选，选择有实力、重信誉的服务单位为项目提供“客观、公正、规范、科学”的相关服务。</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本比选文件由比选人负责解释。</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73" w:name="_Toc454834931"/>
      <w:r>
        <w:rPr>
          <w:rFonts w:hint="eastAsia"/>
          <w:color w:val="auto"/>
        </w:rPr>
        <w:t>比选文件</w:t>
      </w:r>
      <w:bookmarkEnd w:id="70"/>
      <w:bookmarkEnd w:id="71"/>
      <w:bookmarkEnd w:id="72"/>
      <w:bookmarkEnd w:id="73"/>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比选申请人应认真检查比选文件是否完整，如存在缺页或不全时，应及时向比选人提出，以便补齐。</w:t>
      </w:r>
    </w:p>
    <w:p>
      <w:pPr>
        <w:pageBreakBefore w:val="0"/>
        <w:numPr>
          <w:ilvl w:val="1"/>
          <w:numId w:val="3"/>
        </w:numPr>
        <w:kinsoku/>
        <w:wordWrap/>
        <w:overflowPunct/>
        <w:topLinePunct w:val="0"/>
        <w:autoSpaceDE/>
        <w:autoSpaceDN/>
        <w:bidi w:val="0"/>
        <w:snapToGrid/>
        <w:spacing w:line="440" w:lineRule="exact"/>
        <w:ind w:firstLine="482"/>
        <w:rPr>
          <w:rFonts w:ascii="宋体"/>
          <w:b/>
          <w:color w:val="auto"/>
        </w:rPr>
      </w:pPr>
      <w:bookmarkStart w:id="74" w:name="_Toc500402894"/>
      <w:bookmarkStart w:id="75" w:name="_Toc184283925"/>
      <w:r>
        <w:rPr>
          <w:rFonts w:hint="eastAsia" w:ascii="宋体" w:hAnsi="宋体"/>
          <w:b/>
          <w:color w:val="auto"/>
        </w:rPr>
        <w:t>比选文件的组成</w:t>
      </w:r>
      <w:bookmarkEnd w:id="74"/>
      <w:bookmarkEnd w:id="75"/>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比选公告；</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比选申请人须知；</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评审办法；</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lang w:val="zh-CN"/>
        </w:rPr>
        <w:t>比选申请文件</w:t>
      </w:r>
      <w:r>
        <w:rPr>
          <w:rFonts w:hint="eastAsia" w:ascii="宋体" w:hAnsi="宋体"/>
          <w:color w:val="auto"/>
        </w:rPr>
        <w:t>格式；</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采购需求</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合同条款及格式</w:t>
      </w:r>
    </w:p>
    <w:p>
      <w:pPr>
        <w:pageBreakBefore w:val="0"/>
        <w:numPr>
          <w:ilvl w:val="1"/>
          <w:numId w:val="4"/>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对比选文件所作的澄清、修改或补充，构成比选文件的组成部分。</w:t>
      </w:r>
    </w:p>
    <w:p>
      <w:pPr>
        <w:pageBreakBefore w:val="0"/>
        <w:numPr>
          <w:ilvl w:val="1"/>
          <w:numId w:val="3"/>
        </w:numPr>
        <w:kinsoku/>
        <w:wordWrap/>
        <w:overflowPunct/>
        <w:topLinePunct w:val="0"/>
        <w:autoSpaceDE/>
        <w:autoSpaceDN/>
        <w:bidi w:val="0"/>
        <w:snapToGrid/>
        <w:spacing w:line="440" w:lineRule="exact"/>
        <w:ind w:firstLine="482"/>
        <w:rPr>
          <w:rFonts w:ascii="宋体"/>
          <w:b/>
          <w:color w:val="auto"/>
        </w:rPr>
      </w:pPr>
      <w:bookmarkStart w:id="76" w:name="_Toc500402895"/>
      <w:bookmarkStart w:id="77" w:name="_Toc184283926"/>
      <w:r>
        <w:rPr>
          <w:rFonts w:hint="eastAsia" w:ascii="宋体" w:hAnsi="宋体"/>
          <w:b/>
          <w:color w:val="auto"/>
        </w:rPr>
        <w:t>比选文件的澄清</w:t>
      </w:r>
      <w:bookmarkEnd w:id="76"/>
      <w:bookmarkEnd w:id="77"/>
    </w:p>
    <w:p>
      <w:pPr>
        <w:pageBreakBefore w:val="0"/>
        <w:numPr>
          <w:ilvl w:val="0"/>
          <w:numId w:val="5"/>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比选申请人应仔细阅读和检查比选文件的全部内容。如发现缺页或附件不全，应及时向比选人提出，以便补齐。如有疑问，应在比选申请人须知前附表规定的时间前以书面形式，要求比选人对比选文件予以澄清。</w:t>
      </w:r>
    </w:p>
    <w:p>
      <w:pPr>
        <w:pageBreakBefore w:val="0"/>
        <w:numPr>
          <w:ilvl w:val="0"/>
          <w:numId w:val="5"/>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比选文件的澄清将在比选申请人须知前附表规定的</w:t>
      </w:r>
      <w:r>
        <w:rPr>
          <w:rFonts w:hint="eastAsia" w:ascii="宋体" w:hAnsi="宋体"/>
          <w:color w:val="auto"/>
          <w:lang w:val="zh-CN"/>
        </w:rPr>
        <w:t>递交截止时至少</w:t>
      </w:r>
      <w:r>
        <w:rPr>
          <w:rFonts w:ascii="宋体" w:hAnsi="宋体"/>
          <w:color w:val="auto"/>
          <w:lang w:val="zh-CN"/>
        </w:rPr>
        <w:t>3</w:t>
      </w:r>
      <w:r>
        <w:rPr>
          <w:rFonts w:hint="eastAsia" w:ascii="宋体" w:hAnsi="宋体"/>
          <w:color w:val="auto"/>
          <w:lang w:val="zh-CN"/>
        </w:rPr>
        <w:t>日以前以书面形式发给所有获得比选文件的比选申请人</w:t>
      </w:r>
      <w:r>
        <w:rPr>
          <w:rFonts w:hint="eastAsia" w:ascii="宋体" w:hAnsi="宋体"/>
          <w:color w:val="auto"/>
        </w:rPr>
        <w:t>，但不指明澄清问题的来源。该澄清内容为比选文件的组成部分。</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78" w:name="_比选申请文件"/>
      <w:bookmarkEnd w:id="78"/>
      <w:bookmarkStart w:id="79" w:name="_Toc184283928"/>
      <w:bookmarkStart w:id="80" w:name="_Toc454834932"/>
      <w:bookmarkStart w:id="81" w:name="_Toc500402897"/>
      <w:bookmarkStart w:id="82" w:name="_Toc184274918"/>
      <w:r>
        <w:rPr>
          <w:rFonts w:hint="eastAsia"/>
          <w:color w:val="auto"/>
        </w:rPr>
        <w:t>比选申请文件</w:t>
      </w:r>
      <w:bookmarkEnd w:id="79"/>
      <w:bookmarkEnd w:id="80"/>
      <w:bookmarkEnd w:id="81"/>
      <w:bookmarkEnd w:id="82"/>
    </w:p>
    <w:p>
      <w:pPr>
        <w:pageBreakBefore w:val="0"/>
        <w:numPr>
          <w:ilvl w:val="1"/>
          <w:numId w:val="6"/>
        </w:numPr>
        <w:kinsoku/>
        <w:wordWrap/>
        <w:overflowPunct/>
        <w:topLinePunct w:val="0"/>
        <w:autoSpaceDE/>
        <w:autoSpaceDN/>
        <w:bidi w:val="0"/>
        <w:snapToGrid/>
        <w:spacing w:line="440" w:lineRule="exact"/>
        <w:ind w:firstLine="482"/>
        <w:rPr>
          <w:rFonts w:ascii="宋体"/>
          <w:b/>
          <w:color w:val="auto"/>
        </w:rPr>
      </w:pPr>
      <w:bookmarkStart w:id="83" w:name="_Toc184283929"/>
      <w:bookmarkStart w:id="84" w:name="_Toc500402898"/>
      <w:r>
        <w:rPr>
          <w:rFonts w:hint="eastAsia" w:ascii="宋体" w:hAnsi="宋体"/>
          <w:b/>
          <w:color w:val="auto"/>
        </w:rPr>
        <w:t>比选申请文件的组成</w:t>
      </w:r>
      <w:bookmarkEnd w:id="83"/>
      <w:bookmarkEnd w:id="84"/>
    </w:p>
    <w:p>
      <w:pPr>
        <w:pageBreakBefore w:val="0"/>
        <w:numPr>
          <w:ilvl w:val="2"/>
          <w:numId w:val="6"/>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比选申请文件应包括下列内容：</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1</w:t>
      </w:r>
      <w:r>
        <w:rPr>
          <w:rFonts w:hint="eastAsia" w:ascii="宋体" w:hAnsi="宋体"/>
          <w:color w:val="auto"/>
        </w:rPr>
        <w:t>）比选申请函；</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2</w:t>
      </w:r>
      <w:r>
        <w:rPr>
          <w:rFonts w:hint="eastAsia" w:ascii="宋体" w:hAnsi="宋体"/>
          <w:color w:val="auto"/>
        </w:rPr>
        <w:t>）法定代表人身份证明；</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3</w:t>
      </w:r>
      <w:r>
        <w:rPr>
          <w:rFonts w:hint="eastAsia" w:ascii="宋体" w:hAnsi="宋体"/>
          <w:color w:val="auto"/>
        </w:rPr>
        <w:t>）法定代表人授权委托书；</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4</w:t>
      </w:r>
      <w:r>
        <w:rPr>
          <w:rFonts w:hint="eastAsia" w:ascii="宋体" w:hAnsi="宋体"/>
          <w:color w:val="auto"/>
        </w:rPr>
        <w:t>）资格审查资料；</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5</w:t>
      </w:r>
      <w:r>
        <w:rPr>
          <w:rFonts w:hint="eastAsia" w:ascii="宋体" w:hAnsi="宋体"/>
          <w:color w:val="auto"/>
        </w:rPr>
        <w:t>）承诺书；</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6</w:t>
      </w:r>
      <w:r>
        <w:rPr>
          <w:rFonts w:hint="eastAsia" w:ascii="宋体" w:hAnsi="宋体"/>
          <w:color w:val="auto"/>
        </w:rPr>
        <w:t>）公司简介；</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7</w:t>
      </w:r>
      <w:r>
        <w:rPr>
          <w:rFonts w:hint="eastAsia" w:ascii="宋体" w:hAnsi="宋体"/>
          <w:color w:val="auto"/>
        </w:rPr>
        <w:t>）</w:t>
      </w:r>
      <w:r>
        <w:rPr>
          <w:rFonts w:hint="eastAsia" w:ascii="宋体" w:hAnsi="宋体"/>
          <w:color w:val="auto"/>
          <w:lang w:val="zh-CN"/>
        </w:rPr>
        <w:t>项目管理机构组成及主要人员简历表</w:t>
      </w:r>
      <w:r>
        <w:rPr>
          <w:rFonts w:hint="eastAsia" w:ascii="宋体" w:hAnsi="宋体"/>
          <w:color w:val="auto"/>
        </w:rPr>
        <w:t>；</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8</w:t>
      </w:r>
      <w:r>
        <w:rPr>
          <w:rFonts w:hint="eastAsia" w:ascii="宋体" w:hAnsi="宋体"/>
          <w:color w:val="auto"/>
        </w:rPr>
        <w:t>）业绩一览表；</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9</w:t>
      </w:r>
      <w:r>
        <w:rPr>
          <w:rFonts w:hint="eastAsia" w:ascii="宋体" w:hAnsi="宋体"/>
          <w:color w:val="auto"/>
        </w:rPr>
        <w:t>）</w:t>
      </w:r>
      <w:r>
        <w:rPr>
          <w:rFonts w:hint="eastAsia" w:ascii="宋体" w:hAnsi="宋体"/>
          <w:color w:val="auto"/>
          <w:lang w:val="zh-CN"/>
        </w:rPr>
        <w:t>服务方案</w:t>
      </w:r>
      <w:r>
        <w:rPr>
          <w:rFonts w:hint="eastAsia" w:ascii="宋体" w:hAnsi="宋体"/>
          <w:color w:val="auto"/>
        </w:rPr>
        <w:t>；</w:t>
      </w:r>
    </w:p>
    <w:p>
      <w:pPr>
        <w:pageBreakBefore w:val="0"/>
        <w:kinsoku/>
        <w:wordWrap/>
        <w:overflowPunct/>
        <w:topLinePunct w:val="0"/>
        <w:autoSpaceDE/>
        <w:autoSpaceDN/>
        <w:bidi w:val="0"/>
        <w:snapToGrid/>
        <w:spacing w:line="440" w:lineRule="exact"/>
        <w:ind w:left="454" w:firstLine="480"/>
        <w:rPr>
          <w:rFonts w:ascii="宋体"/>
          <w:color w:val="auto"/>
        </w:rPr>
      </w:pPr>
      <w:r>
        <w:rPr>
          <w:rFonts w:ascii="宋体" w:hAnsi="宋体"/>
          <w:color w:val="auto"/>
        </w:rPr>
        <w:t>1</w:t>
      </w:r>
      <w:r>
        <w:rPr>
          <w:rFonts w:ascii="宋体"/>
          <w:color w:val="auto"/>
        </w:rPr>
        <w:t>0</w:t>
      </w:r>
      <w:r>
        <w:rPr>
          <w:rFonts w:hint="eastAsia" w:ascii="宋体" w:hAnsi="宋体"/>
          <w:color w:val="auto"/>
        </w:rPr>
        <w:t>）比选申请人须知规定的其他材料。</w:t>
      </w:r>
    </w:p>
    <w:p>
      <w:pPr>
        <w:pageBreakBefore w:val="0"/>
        <w:numPr>
          <w:ilvl w:val="2"/>
          <w:numId w:val="6"/>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比选申请文件应真实、可靠，不得有隐瞒、欺诈行为，否则，将取消比选申请资格，如中选，将取消中选人资格，且保留追究其责任的权利。</w:t>
      </w:r>
    </w:p>
    <w:p>
      <w:pPr>
        <w:pageBreakBefore w:val="0"/>
        <w:numPr>
          <w:ilvl w:val="2"/>
          <w:numId w:val="6"/>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比选申请人应使用本比选文件提供的格式编制</w:t>
      </w:r>
      <w:r>
        <w:rPr>
          <w:rFonts w:hint="eastAsia" w:ascii="宋体" w:hAnsi="宋体"/>
          <w:color w:val="auto"/>
          <w:lang w:val="zh-CN"/>
        </w:rPr>
        <w:t>比选申请</w:t>
      </w:r>
      <w:r>
        <w:rPr>
          <w:rFonts w:hint="eastAsia" w:ascii="宋体" w:hAnsi="宋体"/>
          <w:color w:val="auto"/>
        </w:rPr>
        <w:t>文件，可按同样格式扩展使用。</w:t>
      </w:r>
    </w:p>
    <w:p>
      <w:pPr>
        <w:pageBreakBefore w:val="0"/>
        <w:numPr>
          <w:ilvl w:val="1"/>
          <w:numId w:val="6"/>
        </w:numPr>
        <w:kinsoku/>
        <w:wordWrap/>
        <w:overflowPunct/>
        <w:topLinePunct w:val="0"/>
        <w:autoSpaceDE/>
        <w:autoSpaceDN/>
        <w:bidi w:val="0"/>
        <w:snapToGrid/>
        <w:spacing w:line="440" w:lineRule="exact"/>
        <w:ind w:firstLine="482"/>
        <w:rPr>
          <w:rFonts w:ascii="宋体"/>
          <w:b/>
          <w:color w:val="auto"/>
        </w:rPr>
      </w:pPr>
      <w:bookmarkStart w:id="85" w:name="_Toc500402900"/>
      <w:bookmarkStart w:id="86" w:name="_Toc184283931"/>
      <w:r>
        <w:rPr>
          <w:rFonts w:hint="eastAsia" w:ascii="宋体" w:hAnsi="宋体"/>
          <w:b/>
          <w:color w:val="auto"/>
        </w:rPr>
        <w:t>比选申请有效期</w:t>
      </w:r>
      <w:bookmarkEnd w:id="85"/>
      <w:bookmarkEnd w:id="86"/>
    </w:p>
    <w:p>
      <w:pPr>
        <w:pageBreakBefore w:val="0"/>
        <w:numPr>
          <w:ilvl w:val="3"/>
          <w:numId w:val="6"/>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在比选申请人须知前附表规定的比选申请有效期内，比选申请人不得要求撤销或修改其比选申请文件。</w:t>
      </w:r>
    </w:p>
    <w:p>
      <w:pPr>
        <w:pageBreakBefore w:val="0"/>
        <w:numPr>
          <w:ilvl w:val="1"/>
          <w:numId w:val="6"/>
        </w:numPr>
        <w:kinsoku/>
        <w:wordWrap/>
        <w:overflowPunct/>
        <w:topLinePunct w:val="0"/>
        <w:autoSpaceDE/>
        <w:autoSpaceDN/>
        <w:bidi w:val="0"/>
        <w:snapToGrid/>
        <w:spacing w:line="440" w:lineRule="exact"/>
        <w:ind w:firstLine="482"/>
        <w:rPr>
          <w:rFonts w:ascii="宋体"/>
          <w:b/>
          <w:color w:val="auto"/>
        </w:rPr>
      </w:pPr>
      <w:bookmarkStart w:id="87" w:name="_Toc184283934"/>
      <w:bookmarkStart w:id="88" w:name="_Toc500402903"/>
      <w:r>
        <w:rPr>
          <w:rFonts w:hint="eastAsia" w:ascii="宋体" w:hAnsi="宋体"/>
          <w:b/>
          <w:color w:val="auto"/>
        </w:rPr>
        <w:t>资格审查资料</w:t>
      </w:r>
      <w:bookmarkEnd w:id="87"/>
      <w:bookmarkEnd w:id="88"/>
    </w:p>
    <w:p>
      <w:pPr>
        <w:pageBreakBefore w:val="0"/>
        <w:numPr>
          <w:ilvl w:val="1"/>
          <w:numId w:val="7"/>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“比选申请人基本情况一览表”应附比选申请人营业执照副本。</w:t>
      </w:r>
    </w:p>
    <w:p>
      <w:pPr>
        <w:pageBreakBefore w:val="0"/>
        <w:numPr>
          <w:ilvl w:val="1"/>
          <w:numId w:val="7"/>
        </w:numPr>
        <w:kinsoku/>
        <w:wordWrap/>
        <w:overflowPunct/>
        <w:topLinePunct w:val="0"/>
        <w:autoSpaceDE/>
        <w:autoSpaceDN/>
        <w:bidi w:val="0"/>
        <w:snapToGrid/>
        <w:spacing w:line="440" w:lineRule="exact"/>
        <w:ind w:firstLine="480"/>
        <w:rPr>
          <w:rFonts w:ascii="宋体"/>
          <w:color w:val="auto"/>
        </w:rPr>
      </w:pPr>
      <w:r>
        <w:rPr>
          <w:rFonts w:ascii="宋体" w:hAnsi="宋体"/>
          <w:color w:val="auto"/>
        </w:rPr>
        <w:t xml:space="preserve"> </w:t>
      </w:r>
      <w:r>
        <w:rPr>
          <w:rFonts w:hint="eastAsia" w:ascii="宋体" w:hAnsi="宋体"/>
          <w:color w:val="auto"/>
        </w:rPr>
        <w:t>其他要求的材料见比选申请人须知前附表。</w:t>
      </w:r>
    </w:p>
    <w:p>
      <w:pPr>
        <w:pageBreakBefore w:val="0"/>
        <w:numPr>
          <w:ilvl w:val="1"/>
          <w:numId w:val="6"/>
        </w:numPr>
        <w:kinsoku/>
        <w:wordWrap/>
        <w:overflowPunct/>
        <w:topLinePunct w:val="0"/>
        <w:autoSpaceDE/>
        <w:autoSpaceDN/>
        <w:bidi w:val="0"/>
        <w:snapToGrid/>
        <w:spacing w:line="440" w:lineRule="exact"/>
        <w:ind w:firstLine="482"/>
        <w:rPr>
          <w:rFonts w:ascii="宋体"/>
          <w:b/>
          <w:color w:val="auto"/>
        </w:rPr>
      </w:pPr>
      <w:bookmarkStart w:id="89" w:name="_Toc184283936"/>
      <w:bookmarkStart w:id="90" w:name="_Toc500402905"/>
      <w:r>
        <w:rPr>
          <w:rFonts w:hint="eastAsia" w:ascii="宋体" w:hAnsi="宋体"/>
          <w:b/>
          <w:color w:val="auto"/>
        </w:rPr>
        <w:t>比选申请文件的编制</w:t>
      </w:r>
      <w:bookmarkEnd w:id="89"/>
      <w:bookmarkEnd w:id="90"/>
    </w:p>
    <w:p>
      <w:pPr>
        <w:pageBreakBefore w:val="0"/>
        <w:numPr>
          <w:ilvl w:val="0"/>
          <w:numId w:val="8"/>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比选申请文件应按“比选申请文件格式”进行编写，如有必要，可以增加附页，作为比选申请文件的组成部分。</w:t>
      </w:r>
    </w:p>
    <w:p>
      <w:pPr>
        <w:pageBreakBefore w:val="0"/>
        <w:numPr>
          <w:ilvl w:val="0"/>
          <w:numId w:val="8"/>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比选申请文件应当对比选文件有关比选申请有效期、标准和要求等实质性内容做出响应。</w:t>
      </w:r>
    </w:p>
    <w:p>
      <w:pPr>
        <w:pageBreakBefore w:val="0"/>
        <w:numPr>
          <w:ilvl w:val="0"/>
          <w:numId w:val="8"/>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比选申请文件应尽量避免涂改、行间插字或删除。如果出现上述情况，改动之处应加盖单位行政公章或由比选申请人的法定代表人或其授权的代理人签字确认。签字或盖章的具体要求见比选申请人须知前附表。</w:t>
      </w:r>
    </w:p>
    <w:p>
      <w:pPr>
        <w:pageBreakBefore w:val="0"/>
        <w:numPr>
          <w:ilvl w:val="0"/>
          <w:numId w:val="8"/>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比选申请文件正本一份，副本份数见比选申请人须知前附表。正本和副本的封面上应清楚地标记“正本”或“副本”的字样。正副本内容应一致，如出现不一致时，以正本为准。</w:t>
      </w:r>
    </w:p>
    <w:p>
      <w:pPr>
        <w:pageBreakBefore w:val="0"/>
        <w:numPr>
          <w:ilvl w:val="0"/>
          <w:numId w:val="8"/>
        </w:numPr>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比选申请文件的正本与副本应分别装订成册，并编制目录，具体装订要求见比选申请人须知前附表规定。</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91" w:name="_比选申请文件的递交"/>
      <w:bookmarkEnd w:id="91"/>
      <w:bookmarkStart w:id="92" w:name="_Toc184283937"/>
      <w:bookmarkStart w:id="93" w:name="_Toc500402906"/>
      <w:bookmarkStart w:id="94" w:name="_Toc184274919"/>
      <w:bookmarkStart w:id="95" w:name="_Toc454834933"/>
      <w:r>
        <w:rPr>
          <w:rFonts w:hint="eastAsia"/>
          <w:color w:val="auto"/>
        </w:rPr>
        <w:t>比选申请文件的递交</w:t>
      </w:r>
      <w:bookmarkEnd w:id="92"/>
      <w:bookmarkEnd w:id="93"/>
      <w:bookmarkEnd w:id="94"/>
      <w:bookmarkEnd w:id="95"/>
    </w:p>
    <w:p>
      <w:pPr>
        <w:pageBreakBefore w:val="0"/>
        <w:numPr>
          <w:ilvl w:val="0"/>
          <w:numId w:val="9"/>
        </w:numPr>
        <w:kinsoku/>
        <w:wordWrap/>
        <w:overflowPunct/>
        <w:topLinePunct w:val="0"/>
        <w:autoSpaceDE/>
        <w:autoSpaceDN/>
        <w:bidi w:val="0"/>
        <w:snapToGrid/>
        <w:spacing w:line="440" w:lineRule="exact"/>
        <w:ind w:firstLine="482"/>
        <w:rPr>
          <w:rFonts w:ascii="宋体"/>
          <w:b/>
          <w:color w:val="auto"/>
        </w:rPr>
      </w:pPr>
      <w:bookmarkStart w:id="96" w:name="_Toc500402907"/>
      <w:bookmarkStart w:id="97" w:name="_Toc184283938"/>
      <w:r>
        <w:rPr>
          <w:rFonts w:hint="eastAsia" w:ascii="宋体" w:hAnsi="宋体"/>
          <w:b/>
          <w:color w:val="auto"/>
        </w:rPr>
        <w:t>比选申请文件的密封和标记</w:t>
      </w:r>
      <w:bookmarkEnd w:id="96"/>
      <w:bookmarkEnd w:id="97"/>
    </w:p>
    <w:p>
      <w:pPr>
        <w:pageBreakBefore w:val="0"/>
        <w:kinsoku/>
        <w:wordWrap/>
        <w:overflowPunct/>
        <w:topLinePunct w:val="0"/>
        <w:autoSpaceDE/>
        <w:autoSpaceDN/>
        <w:bidi w:val="0"/>
        <w:snapToGrid/>
        <w:spacing w:line="440" w:lineRule="exact"/>
        <w:ind w:left="166" w:leftChars="69" w:firstLine="480"/>
        <w:rPr>
          <w:rFonts w:ascii="宋体"/>
          <w:color w:val="auto"/>
        </w:rPr>
      </w:pPr>
      <w:r>
        <w:rPr>
          <w:rFonts w:hint="eastAsia" w:ascii="宋体" w:hAnsi="宋体"/>
          <w:color w:val="auto"/>
        </w:rPr>
        <w:t>见比选申请人须知前附表。</w:t>
      </w:r>
    </w:p>
    <w:p>
      <w:pPr>
        <w:pageBreakBefore w:val="0"/>
        <w:kinsoku/>
        <w:wordWrap/>
        <w:overflowPunct/>
        <w:topLinePunct w:val="0"/>
        <w:autoSpaceDE/>
        <w:autoSpaceDN/>
        <w:bidi w:val="0"/>
        <w:snapToGrid/>
        <w:spacing w:line="440" w:lineRule="exact"/>
        <w:ind w:left="166" w:leftChars="69" w:firstLine="480"/>
        <w:rPr>
          <w:rFonts w:ascii="宋体"/>
          <w:color w:val="auto"/>
        </w:rPr>
      </w:pPr>
      <w:r>
        <w:rPr>
          <w:rFonts w:hint="eastAsia" w:ascii="宋体" w:hAnsi="宋体"/>
          <w:color w:val="auto"/>
        </w:rPr>
        <w:t>未按要求密封的比选申请文件，比选人不予受理。</w:t>
      </w:r>
    </w:p>
    <w:p>
      <w:pPr>
        <w:pageBreakBefore w:val="0"/>
        <w:numPr>
          <w:ilvl w:val="0"/>
          <w:numId w:val="9"/>
        </w:numPr>
        <w:kinsoku/>
        <w:wordWrap/>
        <w:overflowPunct/>
        <w:topLinePunct w:val="0"/>
        <w:autoSpaceDE/>
        <w:autoSpaceDN/>
        <w:bidi w:val="0"/>
        <w:snapToGrid/>
        <w:spacing w:line="440" w:lineRule="exact"/>
        <w:ind w:firstLine="482"/>
        <w:rPr>
          <w:rFonts w:ascii="宋体"/>
          <w:b/>
          <w:color w:val="auto"/>
        </w:rPr>
      </w:pPr>
      <w:bookmarkStart w:id="98" w:name="_Toc500402908"/>
      <w:bookmarkStart w:id="99" w:name="_Toc184283939"/>
      <w:r>
        <w:rPr>
          <w:rFonts w:hint="eastAsia" w:ascii="宋体" w:hAnsi="宋体"/>
          <w:b/>
          <w:color w:val="auto"/>
        </w:rPr>
        <w:t>比选申请文件的递交</w:t>
      </w:r>
      <w:bookmarkEnd w:id="98"/>
      <w:bookmarkEnd w:id="99"/>
    </w:p>
    <w:p>
      <w:pPr>
        <w:pageBreakBefore w:val="0"/>
        <w:kinsoku/>
        <w:wordWrap/>
        <w:overflowPunct/>
        <w:topLinePunct w:val="0"/>
        <w:autoSpaceDE/>
        <w:autoSpaceDN/>
        <w:bidi w:val="0"/>
        <w:snapToGrid/>
        <w:spacing w:line="440" w:lineRule="exact"/>
        <w:ind w:firstLine="720" w:firstLineChars="300"/>
        <w:rPr>
          <w:rFonts w:ascii="宋体"/>
          <w:b/>
          <w:color w:val="auto"/>
        </w:rPr>
      </w:pPr>
      <w:bookmarkStart w:id="100" w:name="_Toc500402909"/>
      <w:bookmarkStart w:id="101" w:name="_Toc184283940"/>
      <w:r>
        <w:rPr>
          <w:rFonts w:hint="eastAsia" w:ascii="宋体" w:hAnsi="宋体"/>
          <w:color w:val="auto"/>
        </w:rPr>
        <w:t>见比选申请人须知前附表。</w:t>
      </w:r>
    </w:p>
    <w:bookmarkEnd w:id="100"/>
    <w:bookmarkEnd w:id="101"/>
    <w:p>
      <w:pPr>
        <w:pageBreakBefore w:val="0"/>
        <w:numPr>
          <w:ilvl w:val="0"/>
          <w:numId w:val="9"/>
        </w:numPr>
        <w:kinsoku/>
        <w:wordWrap/>
        <w:overflowPunct/>
        <w:topLinePunct w:val="0"/>
        <w:autoSpaceDE/>
        <w:autoSpaceDN/>
        <w:bidi w:val="0"/>
        <w:snapToGrid/>
        <w:spacing w:line="440" w:lineRule="exact"/>
        <w:ind w:firstLine="482"/>
        <w:rPr>
          <w:rFonts w:ascii="宋体"/>
          <w:b/>
          <w:color w:val="auto"/>
        </w:rPr>
      </w:pPr>
      <w:bookmarkStart w:id="102" w:name="_比选申请文件的开启"/>
      <w:bookmarkEnd w:id="102"/>
      <w:bookmarkStart w:id="103" w:name="_Toc454834934"/>
      <w:r>
        <w:rPr>
          <w:rFonts w:hint="eastAsia" w:ascii="宋体" w:hAnsi="宋体"/>
          <w:b/>
          <w:color w:val="auto"/>
        </w:rPr>
        <w:t>比选申请文件的开启</w:t>
      </w:r>
      <w:bookmarkEnd w:id="103"/>
    </w:p>
    <w:p>
      <w:pPr>
        <w:pageBreakBefore w:val="0"/>
        <w:kinsoku/>
        <w:wordWrap/>
        <w:overflowPunct/>
        <w:topLinePunct w:val="0"/>
        <w:autoSpaceDE/>
        <w:autoSpaceDN/>
        <w:bidi w:val="0"/>
        <w:snapToGrid/>
        <w:spacing w:line="440" w:lineRule="exact"/>
        <w:ind w:firstLine="480"/>
        <w:rPr>
          <w:rFonts w:ascii="宋体"/>
          <w:color w:val="auto"/>
        </w:rPr>
      </w:pPr>
      <w:bookmarkStart w:id="104" w:name="_评审"/>
      <w:bookmarkEnd w:id="104"/>
      <w:bookmarkStart w:id="105" w:name="_Toc500402913"/>
      <w:bookmarkStart w:id="106" w:name="_Toc184274921"/>
      <w:bookmarkStart w:id="107" w:name="_Toc184283944"/>
      <w:r>
        <w:rPr>
          <w:rFonts w:hint="eastAsia" w:ascii="宋体" w:hAnsi="宋体"/>
          <w:color w:val="auto"/>
        </w:rPr>
        <w:t>比选人在公司对比选申请文件举行密封性检查，邀请各比选申请人参加，比选申请人授权代表不能出席开标仪式的，须认可密封性检查结果。</w:t>
      </w:r>
    </w:p>
    <w:bookmarkEnd w:id="105"/>
    <w:bookmarkEnd w:id="106"/>
    <w:bookmarkEnd w:id="107"/>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108" w:name="_Toc454834935"/>
      <w:r>
        <w:rPr>
          <w:rFonts w:hint="eastAsia"/>
          <w:color w:val="auto"/>
        </w:rPr>
        <w:t>评审</w:t>
      </w:r>
      <w:bookmarkEnd w:id="108"/>
    </w:p>
    <w:p>
      <w:pPr>
        <w:pageBreakBefore w:val="0"/>
        <w:numPr>
          <w:ilvl w:val="0"/>
          <w:numId w:val="10"/>
        </w:numPr>
        <w:tabs>
          <w:tab w:val="left" w:pos="227"/>
        </w:tabs>
        <w:kinsoku/>
        <w:wordWrap/>
        <w:overflowPunct/>
        <w:topLinePunct w:val="0"/>
        <w:autoSpaceDE/>
        <w:autoSpaceDN/>
        <w:bidi w:val="0"/>
        <w:snapToGrid/>
        <w:spacing w:line="440" w:lineRule="exact"/>
        <w:ind w:left="0" w:firstLine="482"/>
        <w:rPr>
          <w:rFonts w:ascii="宋体"/>
          <w:b/>
          <w:color w:val="auto"/>
        </w:rPr>
      </w:pPr>
      <w:bookmarkStart w:id="109" w:name="_Toc500402914"/>
      <w:bookmarkStart w:id="110" w:name="_Toc184283945"/>
      <w:r>
        <w:rPr>
          <w:rFonts w:ascii="宋体" w:hAnsi="宋体"/>
          <w:b/>
          <w:color w:val="auto"/>
        </w:rPr>
        <w:t xml:space="preserve"> </w:t>
      </w:r>
      <w:r>
        <w:rPr>
          <w:rFonts w:hint="eastAsia" w:ascii="宋体" w:hAnsi="宋体"/>
          <w:b/>
          <w:color w:val="auto"/>
        </w:rPr>
        <w:t>评审委员会</w:t>
      </w:r>
      <w:bookmarkEnd w:id="109"/>
      <w:bookmarkEnd w:id="110"/>
    </w:p>
    <w:p>
      <w:pPr>
        <w:pageBreakBefore w:val="0"/>
        <w:kinsoku/>
        <w:wordWrap/>
        <w:overflowPunct/>
        <w:topLinePunct w:val="0"/>
        <w:autoSpaceDE/>
        <w:autoSpaceDN/>
        <w:bidi w:val="0"/>
        <w:snapToGrid/>
        <w:spacing w:line="440" w:lineRule="exact"/>
        <w:ind w:firstLine="480"/>
        <w:rPr>
          <w:rFonts w:ascii="宋体"/>
          <w:b/>
          <w:color w:val="auto"/>
        </w:rPr>
      </w:pPr>
      <w:bookmarkStart w:id="111" w:name="_Toc184283946"/>
      <w:bookmarkStart w:id="112" w:name="_Toc500402915"/>
      <w:r>
        <w:rPr>
          <w:rFonts w:hint="eastAsia" w:ascii="宋体" w:hAnsi="宋体"/>
          <w:color w:val="auto"/>
        </w:rPr>
        <w:t>评审工作由评审委员会负责。评审委员会由比选人依法组建，评审委员会由</w:t>
      </w:r>
      <w:r>
        <w:rPr>
          <w:rFonts w:ascii="宋体" w:hAnsi="宋体"/>
          <w:color w:val="auto"/>
        </w:rPr>
        <w:t>3</w:t>
      </w:r>
      <w:r>
        <w:rPr>
          <w:rFonts w:hint="eastAsia" w:ascii="宋体" w:hAnsi="宋体"/>
          <w:color w:val="auto"/>
        </w:rPr>
        <w:t>人组成。</w:t>
      </w:r>
    </w:p>
    <w:p>
      <w:pPr>
        <w:pageBreakBefore w:val="0"/>
        <w:numPr>
          <w:ilvl w:val="0"/>
          <w:numId w:val="10"/>
        </w:numPr>
        <w:tabs>
          <w:tab w:val="left" w:pos="227"/>
        </w:tabs>
        <w:kinsoku/>
        <w:wordWrap/>
        <w:overflowPunct/>
        <w:topLinePunct w:val="0"/>
        <w:autoSpaceDE/>
        <w:autoSpaceDN/>
        <w:bidi w:val="0"/>
        <w:snapToGrid/>
        <w:spacing w:line="440" w:lineRule="exact"/>
        <w:ind w:left="0" w:firstLine="482"/>
        <w:rPr>
          <w:rFonts w:ascii="宋体"/>
          <w:b/>
          <w:color w:val="auto"/>
        </w:rPr>
      </w:pPr>
      <w:r>
        <w:rPr>
          <w:rFonts w:ascii="宋体" w:hAnsi="宋体"/>
          <w:b/>
          <w:color w:val="auto"/>
        </w:rPr>
        <w:t xml:space="preserve"> </w:t>
      </w:r>
      <w:r>
        <w:rPr>
          <w:rFonts w:hint="eastAsia" w:ascii="宋体" w:hAnsi="宋体"/>
          <w:b/>
          <w:color w:val="auto"/>
        </w:rPr>
        <w:t>评审原则</w:t>
      </w:r>
      <w:bookmarkEnd w:id="111"/>
      <w:bookmarkEnd w:id="112"/>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评审活动遵循公平、公正、科学和择优的原则。评审委员会成员应对评审活动保密。</w:t>
      </w:r>
    </w:p>
    <w:p>
      <w:pPr>
        <w:pageBreakBefore w:val="0"/>
        <w:numPr>
          <w:ilvl w:val="0"/>
          <w:numId w:val="10"/>
        </w:numPr>
        <w:tabs>
          <w:tab w:val="left" w:pos="227"/>
        </w:tabs>
        <w:kinsoku/>
        <w:wordWrap/>
        <w:overflowPunct/>
        <w:topLinePunct w:val="0"/>
        <w:autoSpaceDE/>
        <w:autoSpaceDN/>
        <w:bidi w:val="0"/>
        <w:snapToGrid/>
        <w:spacing w:line="440" w:lineRule="exact"/>
        <w:ind w:left="0" w:firstLine="482"/>
        <w:rPr>
          <w:rFonts w:ascii="宋体"/>
          <w:b/>
          <w:color w:val="auto"/>
        </w:rPr>
      </w:pPr>
      <w:r>
        <w:rPr>
          <w:rFonts w:ascii="宋体" w:hAnsi="宋体"/>
          <w:b/>
          <w:color w:val="auto"/>
        </w:rPr>
        <w:t xml:space="preserve"> </w:t>
      </w:r>
      <w:r>
        <w:rPr>
          <w:rFonts w:hint="eastAsia" w:ascii="宋体" w:hAnsi="宋体"/>
          <w:b/>
          <w:color w:val="auto"/>
        </w:rPr>
        <w:t>评审</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评审委员会按照比选文件、答疑、补充以及“评审办法”规定的方法、评审因素、标准和程序对比选申请文件进行评审。没有规定的方法、评审因素、评审依据和标准，不作为评审依据。</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评审委员会应严格按照比选文件和有关法律法规进行评审，认真履职尽责，坚持原则，不得徇私舞弊，弄虚作假。</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113" w:name="_合同授予"/>
      <w:bookmarkEnd w:id="113"/>
      <w:bookmarkStart w:id="114" w:name="_中选"/>
      <w:bookmarkEnd w:id="114"/>
      <w:bookmarkStart w:id="115" w:name="_Toc454834936"/>
      <w:r>
        <w:rPr>
          <w:rFonts w:hint="eastAsia"/>
          <w:color w:val="auto"/>
        </w:rPr>
        <w:t>中选</w:t>
      </w:r>
      <w:bookmarkEnd w:id="115"/>
    </w:p>
    <w:p>
      <w:pPr>
        <w:pageBreakBefore w:val="0"/>
        <w:numPr>
          <w:ilvl w:val="0"/>
          <w:numId w:val="11"/>
        </w:numPr>
        <w:kinsoku/>
        <w:wordWrap/>
        <w:overflowPunct/>
        <w:topLinePunct w:val="0"/>
        <w:autoSpaceDE/>
        <w:autoSpaceDN/>
        <w:bidi w:val="0"/>
        <w:snapToGrid/>
        <w:spacing w:line="440" w:lineRule="exact"/>
        <w:ind w:left="0" w:firstLine="482"/>
        <w:rPr>
          <w:rFonts w:ascii="宋体"/>
          <w:b/>
          <w:color w:val="auto"/>
        </w:rPr>
      </w:pPr>
      <w:bookmarkStart w:id="116" w:name="_Toc184283949"/>
      <w:bookmarkStart w:id="117" w:name="_Toc500402918"/>
      <w:r>
        <w:rPr>
          <w:rFonts w:ascii="宋体" w:hAnsi="宋体"/>
          <w:b/>
          <w:color w:val="auto"/>
        </w:rPr>
        <w:t xml:space="preserve"> </w:t>
      </w:r>
      <w:r>
        <w:rPr>
          <w:rFonts w:hint="eastAsia" w:ascii="宋体" w:hAnsi="宋体"/>
          <w:b/>
          <w:color w:val="auto"/>
        </w:rPr>
        <w:t>中选方式</w:t>
      </w:r>
      <w:bookmarkEnd w:id="116"/>
      <w:bookmarkEnd w:id="117"/>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比选人依据评审委员会推荐的中选候选人确定中选人，评审委员会推荐中选候选人的人数见比选申请人须知前附表。</w:t>
      </w:r>
    </w:p>
    <w:p>
      <w:pPr>
        <w:pageBreakBefore w:val="0"/>
        <w:numPr>
          <w:ilvl w:val="0"/>
          <w:numId w:val="11"/>
        </w:numPr>
        <w:kinsoku/>
        <w:wordWrap/>
        <w:overflowPunct/>
        <w:topLinePunct w:val="0"/>
        <w:autoSpaceDE/>
        <w:autoSpaceDN/>
        <w:bidi w:val="0"/>
        <w:snapToGrid/>
        <w:spacing w:line="440" w:lineRule="exact"/>
        <w:ind w:left="0" w:firstLine="482"/>
        <w:rPr>
          <w:rFonts w:ascii="宋体"/>
          <w:b/>
          <w:color w:val="auto"/>
        </w:rPr>
      </w:pPr>
      <w:bookmarkStart w:id="118" w:name="_Toc500402919"/>
      <w:bookmarkStart w:id="119" w:name="_Toc184283950"/>
      <w:r>
        <w:rPr>
          <w:rFonts w:ascii="宋体" w:hAnsi="宋体"/>
          <w:b/>
          <w:color w:val="auto"/>
        </w:rPr>
        <w:t xml:space="preserve"> </w:t>
      </w:r>
      <w:r>
        <w:rPr>
          <w:rFonts w:hint="eastAsia" w:ascii="宋体" w:hAnsi="宋体"/>
          <w:b/>
          <w:color w:val="auto"/>
        </w:rPr>
        <w:t>中选通知</w:t>
      </w:r>
      <w:bookmarkEnd w:id="118"/>
      <w:bookmarkEnd w:id="119"/>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在规定的比选申请有效期内，比选人以书面形式向中选人发出中选通知书。</w:t>
      </w:r>
    </w:p>
    <w:p>
      <w:pPr>
        <w:pageBreakBefore w:val="0"/>
        <w:numPr>
          <w:ilvl w:val="0"/>
          <w:numId w:val="11"/>
        </w:numPr>
        <w:kinsoku/>
        <w:wordWrap/>
        <w:overflowPunct/>
        <w:topLinePunct w:val="0"/>
        <w:autoSpaceDE/>
        <w:autoSpaceDN/>
        <w:bidi w:val="0"/>
        <w:snapToGrid/>
        <w:spacing w:line="440" w:lineRule="exact"/>
        <w:ind w:left="0" w:firstLine="482"/>
        <w:rPr>
          <w:rFonts w:ascii="宋体"/>
          <w:b/>
          <w:color w:val="auto"/>
        </w:rPr>
      </w:pPr>
      <w:r>
        <w:rPr>
          <w:rFonts w:ascii="宋体" w:hAnsi="宋体"/>
          <w:b/>
          <w:color w:val="auto"/>
        </w:rPr>
        <w:t xml:space="preserve"> </w:t>
      </w:r>
      <w:r>
        <w:rPr>
          <w:rFonts w:hint="eastAsia" w:ascii="宋体" w:hAnsi="宋体"/>
          <w:b/>
          <w:color w:val="auto"/>
        </w:rPr>
        <w:t>合同签订</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比选人和中选人应当自中选通知书发出之日起</w:t>
      </w:r>
      <w:r>
        <w:rPr>
          <w:rFonts w:ascii="宋体" w:hAnsi="宋体"/>
          <w:color w:val="auto"/>
        </w:rPr>
        <w:t>10</w:t>
      </w:r>
      <w:r>
        <w:rPr>
          <w:rFonts w:hint="eastAsia" w:ascii="宋体" w:hAnsi="宋体"/>
          <w:color w:val="auto"/>
        </w:rPr>
        <w:t>日内订立书面合同。</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r>
        <w:rPr>
          <w:rFonts w:hint="eastAsia"/>
          <w:color w:val="auto"/>
        </w:rPr>
        <w:t>重新比选</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有下列情形之一的，应按本规定重新组织公开比选：</w:t>
      </w:r>
    </w:p>
    <w:p>
      <w:pPr>
        <w:pageBreakBefore w:val="0"/>
        <w:kinsoku/>
        <w:wordWrap/>
        <w:overflowPunct/>
        <w:topLinePunct w:val="0"/>
        <w:autoSpaceDE/>
        <w:autoSpaceDN/>
        <w:bidi w:val="0"/>
        <w:snapToGrid/>
        <w:spacing w:line="440" w:lineRule="exact"/>
        <w:ind w:left="480" w:leftChars="200" w:firstLine="0" w:firstLineChars="0"/>
        <w:rPr>
          <w:rFonts w:ascii="宋体"/>
          <w:color w:val="auto"/>
        </w:rPr>
      </w:pPr>
      <w:r>
        <w:rPr>
          <w:rFonts w:hint="eastAsia" w:ascii="宋体" w:hAnsi="宋体"/>
          <w:color w:val="auto"/>
        </w:rPr>
        <w:t>（一）所有比选申请人不符合比选公告规定的条件的；</w:t>
      </w:r>
      <w:r>
        <w:rPr>
          <w:rFonts w:ascii="宋体"/>
          <w:color w:val="auto"/>
        </w:rPr>
        <w:br w:type="textWrapping"/>
      </w:r>
      <w:r>
        <w:rPr>
          <w:rFonts w:hint="eastAsia" w:ascii="宋体" w:hAnsi="宋体"/>
          <w:color w:val="auto"/>
        </w:rPr>
        <w:t>（二）比选申请人少于三家的；</w:t>
      </w:r>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（三）所有比选申请人的报价高于经批准的概算投资额或者经评审的预算投资额。</w:t>
      </w:r>
    </w:p>
    <w:p>
      <w:pPr>
        <w:pStyle w:val="2"/>
        <w:pageBreakBefore w:val="0"/>
        <w:numPr>
          <w:ilvl w:val="0"/>
          <w:numId w:val="1"/>
        </w:numPr>
        <w:kinsoku/>
        <w:wordWrap/>
        <w:overflowPunct/>
        <w:topLinePunct w:val="0"/>
        <w:autoSpaceDE/>
        <w:autoSpaceDN/>
        <w:bidi w:val="0"/>
        <w:snapToGrid/>
        <w:spacing w:beforeLines="0" w:afterLines="0" w:line="440" w:lineRule="exact"/>
        <w:rPr>
          <w:color w:val="auto"/>
        </w:rPr>
      </w:pPr>
      <w:bookmarkStart w:id="120" w:name="_纪律和监督"/>
      <w:bookmarkEnd w:id="120"/>
      <w:bookmarkStart w:id="121" w:name="_重新比选"/>
      <w:bookmarkEnd w:id="121"/>
      <w:bookmarkStart w:id="122" w:name="_Toc454834937"/>
      <w:r>
        <w:rPr>
          <w:rFonts w:hint="eastAsia"/>
          <w:color w:val="auto"/>
        </w:rPr>
        <w:t>其他</w:t>
      </w:r>
      <w:bookmarkEnd w:id="122"/>
    </w:p>
    <w:p>
      <w:pPr>
        <w:pageBreakBefore w:val="0"/>
        <w:kinsoku/>
        <w:wordWrap/>
        <w:overflowPunct/>
        <w:topLinePunct w:val="0"/>
        <w:autoSpaceDE/>
        <w:autoSpaceDN/>
        <w:bidi w:val="0"/>
        <w:snapToGrid/>
        <w:spacing w:line="440" w:lineRule="exact"/>
        <w:ind w:firstLine="480"/>
        <w:rPr>
          <w:rFonts w:ascii="宋体"/>
          <w:color w:val="auto"/>
        </w:rPr>
      </w:pPr>
      <w:r>
        <w:rPr>
          <w:rFonts w:hint="eastAsia" w:ascii="宋体" w:hAnsi="宋体"/>
          <w:color w:val="auto"/>
        </w:rPr>
        <w:t>比选文件与比选公告不一致的，以比选文件为准；评审办法与比选文件中其他说明不一致的，以评审办法为准；前附表与正文部分不一致的，以前附表为准。</w:t>
      </w:r>
    </w:p>
    <w:p>
      <w:pPr>
        <w:pStyle w:val="2"/>
        <w:jc w:val="center"/>
        <w:rPr>
          <w:rFonts w:hint="eastAsia"/>
          <w:b/>
          <w:bCs w:val="0"/>
        </w:rPr>
      </w:pPr>
      <w:r>
        <w:rPr>
          <w:color w:val="auto"/>
        </w:rPr>
        <w:br w:type="page"/>
      </w:r>
      <w:bookmarkEnd w:id="53"/>
      <w:bookmarkEnd w:id="54"/>
      <w:bookmarkStart w:id="123" w:name="_Toc454834940"/>
      <w:bookmarkStart w:id="124" w:name="_Toc500402951"/>
      <w:r>
        <w:rPr>
          <w:rFonts w:hint="eastAsia"/>
          <w:b/>
          <w:bCs w:val="0"/>
          <w:color w:val="auto"/>
          <w:lang w:val="en-US" w:eastAsia="zh-CN"/>
        </w:rPr>
        <w:t>第三章</w:t>
      </w:r>
      <w:r>
        <w:rPr>
          <w:rFonts w:hint="eastAsia"/>
          <w:b/>
          <w:bCs w:val="0"/>
        </w:rPr>
        <w:t>、</w:t>
      </w:r>
      <w:bookmarkStart w:id="125" w:name="_Toc465862180"/>
      <w:r>
        <w:rPr>
          <w:rFonts w:hint="eastAsia"/>
          <w:b/>
          <w:bCs w:val="0"/>
          <w:lang w:val="en-US" w:eastAsia="zh-CN"/>
        </w:rPr>
        <w:t>评审办法</w:t>
      </w:r>
      <w:bookmarkEnd w:id="125"/>
    </w:p>
    <w:p>
      <w:pPr>
        <w:pStyle w:val="2"/>
        <w:rPr>
          <w:rFonts w:hint="eastAsia" w:ascii="宋体" w:hAnsi="宋体" w:eastAsia="宋体" w:cs="宋体"/>
          <w:sz w:val="30"/>
          <w:szCs w:val="30"/>
        </w:rPr>
      </w:pPr>
      <w:r>
        <w:rPr>
          <w:rFonts w:hint="eastAsia" w:ascii="宋体" w:hAnsi="宋体" w:eastAsia="宋体" w:cs="宋体"/>
          <w:sz w:val="30"/>
          <w:szCs w:val="30"/>
        </w:rPr>
        <w:t>1、配置说明</w:t>
      </w:r>
    </w:p>
    <w:p>
      <w:pPr>
        <w:ind w:firstLine="480" w:firstLineChars="200"/>
        <w:rPr>
          <w:rFonts w:hint="eastAsia"/>
          <w:szCs w:val="22"/>
        </w:rPr>
      </w:pPr>
      <w:r>
        <w:rPr>
          <w:szCs w:val="22"/>
        </w:rPr>
        <w:t>大</w:t>
      </w:r>
      <w:r>
        <w:rPr>
          <w:rFonts w:hint="eastAsia"/>
          <w:szCs w:val="22"/>
        </w:rPr>
        <w:t>、中、小</w:t>
      </w:r>
      <w:r>
        <w:rPr>
          <w:szCs w:val="22"/>
        </w:rPr>
        <w:t>会议室：双层布艺窗帘</w:t>
      </w:r>
    </w:p>
    <w:p>
      <w:pPr>
        <w:ind w:firstLine="480" w:firstLineChars="200"/>
        <w:rPr>
          <w:rFonts w:hint="eastAsia"/>
          <w:szCs w:val="22"/>
        </w:rPr>
      </w:pPr>
      <w:r>
        <w:t>办公室</w:t>
      </w:r>
      <w:r>
        <w:rPr>
          <w:rFonts w:hint="eastAsia"/>
        </w:rPr>
        <w:t>外窗</w:t>
      </w:r>
      <w:r>
        <w:t>：</w:t>
      </w:r>
      <w:r>
        <w:rPr>
          <w:rFonts w:hint="eastAsia"/>
        </w:rPr>
        <w:t>卷轴式窗帘</w:t>
      </w:r>
      <w:r>
        <w:t xml:space="preserve"> </w:t>
      </w:r>
    </w:p>
    <w:p>
      <w:pPr>
        <w:ind w:firstLine="480" w:firstLineChars="200"/>
        <w:rPr>
          <w:szCs w:val="22"/>
        </w:rPr>
      </w:pPr>
      <w:r>
        <w:rPr>
          <w:szCs w:val="22"/>
        </w:rPr>
        <w:t>办公室</w:t>
      </w:r>
      <w:r>
        <w:rPr>
          <w:rFonts w:hint="eastAsia"/>
          <w:szCs w:val="22"/>
        </w:rPr>
        <w:t>内窗</w:t>
      </w:r>
      <w:r>
        <w:rPr>
          <w:szCs w:val="22"/>
        </w:rPr>
        <w:t>：铝百叶帘</w:t>
      </w:r>
    </w:p>
    <w:p>
      <w:pPr>
        <w:pStyle w:val="2"/>
        <w:rPr>
          <w:rFonts w:hint="eastAsia" w:ascii="宋体" w:hAnsi="宋体" w:eastAsia="宋体" w:cs="宋体"/>
          <w:sz w:val="30"/>
          <w:szCs w:val="30"/>
        </w:rPr>
      </w:pPr>
      <w:r>
        <w:rPr>
          <w:rFonts w:hint="eastAsia" w:ascii="宋体" w:hAnsi="宋体" w:eastAsia="宋体" w:cs="宋体"/>
          <w:sz w:val="30"/>
          <w:szCs w:val="30"/>
        </w:rPr>
        <w:t>2、参数配置</w:t>
      </w:r>
    </w:p>
    <w:tbl>
      <w:tblPr>
        <w:tblStyle w:val="18"/>
        <w:tblW w:w="107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2"/>
        <w:gridCol w:w="6298"/>
        <w:gridCol w:w="1381"/>
        <w:gridCol w:w="1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jc w:val="center"/>
              <w:rPr>
                <w:b/>
                <w:bCs/>
                <w:sz w:val="24"/>
              </w:rPr>
            </w:pPr>
            <w:r>
              <w:rPr>
                <w:rFonts w:hint="eastAsia"/>
                <w:b/>
                <w:bCs/>
                <w:sz w:val="24"/>
              </w:rPr>
              <w:t>名称</w:t>
            </w:r>
          </w:p>
        </w:tc>
        <w:tc>
          <w:tcPr>
            <w:tcW w:w="6298" w:type="dxa"/>
            <w:noWrap w:val="0"/>
            <w:tcMar>
              <w:top w:w="57" w:type="dxa"/>
              <w:left w:w="57" w:type="dxa"/>
              <w:bottom w:w="0" w:type="dxa"/>
              <w:right w:w="57" w:type="dxa"/>
            </w:tcMar>
            <w:vAlign w:val="center"/>
          </w:tcPr>
          <w:p>
            <w:pPr>
              <w:jc w:val="center"/>
              <w:rPr>
                <w:b/>
                <w:bCs/>
                <w:sz w:val="24"/>
              </w:rPr>
            </w:pPr>
            <w:r>
              <w:rPr>
                <w:rFonts w:hint="eastAsia"/>
                <w:b/>
                <w:bCs/>
                <w:sz w:val="24"/>
              </w:rPr>
              <w:t>品质要求及参数</w:t>
            </w:r>
          </w:p>
        </w:tc>
        <w:tc>
          <w:tcPr>
            <w:tcW w:w="1381" w:type="dxa"/>
            <w:noWrap w:val="0"/>
            <w:tcMar>
              <w:top w:w="57" w:type="dxa"/>
              <w:left w:w="57" w:type="dxa"/>
              <w:bottom w:w="0" w:type="dxa"/>
              <w:right w:w="57" w:type="dxa"/>
            </w:tcMar>
            <w:vAlign w:val="center"/>
          </w:tcPr>
          <w:p>
            <w:pPr>
              <w:jc w:val="center"/>
              <w:rPr>
                <w:b/>
                <w:bCs/>
                <w:sz w:val="24"/>
              </w:rPr>
            </w:pPr>
            <w:r>
              <w:rPr>
                <w:rFonts w:hint="eastAsia"/>
                <w:b/>
                <w:bCs/>
                <w:sz w:val="24"/>
              </w:rPr>
              <w:t>数量</w:t>
            </w:r>
          </w:p>
        </w:tc>
        <w:tc>
          <w:tcPr>
            <w:tcW w:w="1772" w:type="dxa"/>
            <w:noWrap w:val="0"/>
            <w:tcMar>
              <w:top w:w="57" w:type="dxa"/>
              <w:left w:w="57" w:type="dxa"/>
              <w:bottom w:w="0" w:type="dxa"/>
              <w:right w:w="57" w:type="dxa"/>
            </w:tcMar>
            <w:vAlign w:val="center"/>
          </w:tcPr>
          <w:p>
            <w:pPr>
              <w:jc w:val="center"/>
              <w:rPr>
                <w:b/>
                <w:bCs/>
                <w:sz w:val="24"/>
              </w:rPr>
            </w:pPr>
            <w:r>
              <w:rPr>
                <w:rFonts w:hint="eastAsia"/>
                <w:b/>
                <w:bCs/>
                <w:sz w:val="24"/>
              </w:rPr>
              <w:t>参考样图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rFonts w:hint="eastAsia"/>
                <w:b/>
                <w:bCs/>
                <w:sz w:val="24"/>
                <w:szCs w:val="22"/>
              </w:rPr>
            </w:pPr>
            <w:r>
              <w:rPr>
                <w:rFonts w:hint="eastAsia"/>
                <w:b/>
                <w:bCs/>
                <w:sz w:val="24"/>
                <w:szCs w:val="22"/>
              </w:rPr>
              <w:t>大、中、小会议室艺窗帘</w:t>
            </w:r>
          </w:p>
        </w:tc>
        <w:tc>
          <w:tcPr>
            <w:tcW w:w="6298" w:type="dxa"/>
            <w:noWrap w:val="0"/>
            <w:tcMar>
              <w:top w:w="57" w:type="dxa"/>
              <w:left w:w="113" w:type="dxa"/>
              <w:bottom w:w="0" w:type="dxa"/>
              <w:right w:w="57" w:type="dxa"/>
            </w:tcMar>
            <w:vAlign w:val="center"/>
          </w:tcPr>
          <w:p>
            <w:pPr>
              <w:wordWrap w:val="0"/>
              <w:spacing w:line="360" w:lineRule="auto"/>
              <w:rPr>
                <w:rFonts w:hint="eastAsia"/>
                <w:sz w:val="24"/>
                <w:szCs w:val="22"/>
              </w:rPr>
            </w:pPr>
            <w:r>
              <w:rPr>
                <w:rFonts w:hint="eastAsia"/>
                <w:sz w:val="24"/>
                <w:szCs w:val="22"/>
              </w:rPr>
              <w:t>一、窗帘面料要求</w:t>
            </w:r>
          </w:p>
          <w:p>
            <w:pPr>
              <w:wordWrap w:val="0"/>
              <w:spacing w:line="360" w:lineRule="auto"/>
              <w:rPr>
                <w:rFonts w:hint="eastAsia"/>
                <w:sz w:val="24"/>
                <w:szCs w:val="22"/>
              </w:rPr>
            </w:pPr>
            <w:r>
              <w:rPr>
                <w:rFonts w:hint="eastAsia"/>
                <w:sz w:val="24"/>
                <w:szCs w:val="22"/>
              </w:rPr>
              <w:t>★1、成份：100%聚酯纤维；</w:t>
            </w:r>
          </w:p>
          <w:p>
            <w:pPr>
              <w:wordWrap w:val="0"/>
              <w:spacing w:line="360" w:lineRule="auto"/>
              <w:rPr>
                <w:rFonts w:hint="eastAsia"/>
                <w:sz w:val="24"/>
                <w:szCs w:val="22"/>
              </w:rPr>
            </w:pPr>
            <w:r>
              <w:rPr>
                <w:rFonts w:hint="eastAsia"/>
                <w:sz w:val="24"/>
                <w:szCs w:val="22"/>
              </w:rPr>
              <w:t>★2、克重：≥390g/㎡；</w:t>
            </w:r>
          </w:p>
          <w:p>
            <w:pPr>
              <w:wordWrap w:val="0"/>
              <w:spacing w:line="360" w:lineRule="auto"/>
              <w:rPr>
                <w:rFonts w:hint="eastAsia"/>
                <w:sz w:val="24"/>
                <w:szCs w:val="22"/>
              </w:rPr>
            </w:pPr>
            <w:r>
              <w:rPr>
                <w:rFonts w:hint="eastAsia"/>
                <w:sz w:val="24"/>
                <w:szCs w:val="22"/>
              </w:rPr>
              <w:t>3、纱支密度：经向≥1000根/10cm，纬向≥400根/10cm；</w:t>
            </w:r>
          </w:p>
          <w:p>
            <w:pPr>
              <w:wordWrap w:val="0"/>
              <w:spacing w:line="360" w:lineRule="auto"/>
              <w:rPr>
                <w:rFonts w:hint="eastAsia"/>
                <w:sz w:val="24"/>
                <w:szCs w:val="22"/>
              </w:rPr>
            </w:pPr>
            <w:r>
              <w:rPr>
                <w:rFonts w:hint="eastAsia"/>
                <w:sz w:val="24"/>
                <w:szCs w:val="22"/>
              </w:rPr>
              <w:t>★4、甲醛含量：≤300mg/kg；</w:t>
            </w:r>
          </w:p>
          <w:p>
            <w:pPr>
              <w:wordWrap w:val="0"/>
              <w:spacing w:line="360" w:lineRule="auto"/>
              <w:rPr>
                <w:rFonts w:hint="eastAsia"/>
                <w:sz w:val="24"/>
                <w:szCs w:val="22"/>
              </w:rPr>
            </w:pPr>
            <w:r>
              <w:rPr>
                <w:rFonts w:hint="eastAsia"/>
                <w:sz w:val="24"/>
                <w:szCs w:val="22"/>
              </w:rPr>
              <w:t>★5、禁用偶氮染料：禁用；</w:t>
            </w:r>
          </w:p>
          <w:p>
            <w:pPr>
              <w:wordWrap w:val="0"/>
              <w:spacing w:line="360" w:lineRule="auto"/>
              <w:rPr>
                <w:rFonts w:hint="eastAsia"/>
                <w:sz w:val="24"/>
                <w:szCs w:val="22"/>
              </w:rPr>
            </w:pPr>
            <w:r>
              <w:rPr>
                <w:rFonts w:hint="eastAsia"/>
                <w:sz w:val="24"/>
                <w:szCs w:val="22"/>
              </w:rPr>
              <w:t>6、PH值：4.0-9.0；</w:t>
            </w:r>
          </w:p>
          <w:p>
            <w:pPr>
              <w:wordWrap w:val="0"/>
              <w:spacing w:line="360" w:lineRule="auto"/>
              <w:rPr>
                <w:rFonts w:hint="eastAsia"/>
                <w:sz w:val="24"/>
                <w:szCs w:val="22"/>
              </w:rPr>
            </w:pPr>
            <w:r>
              <w:rPr>
                <w:rFonts w:hint="eastAsia"/>
                <w:sz w:val="24"/>
                <w:szCs w:val="22"/>
              </w:rPr>
              <w:t>7、异味：无。</w:t>
            </w:r>
          </w:p>
          <w:p>
            <w:pPr>
              <w:wordWrap w:val="0"/>
              <w:spacing w:line="360" w:lineRule="auto"/>
              <w:rPr>
                <w:rFonts w:hint="eastAsia"/>
                <w:sz w:val="24"/>
                <w:szCs w:val="22"/>
              </w:rPr>
            </w:pPr>
            <w:r>
              <w:rPr>
                <w:rFonts w:hint="eastAsia"/>
                <w:sz w:val="24"/>
                <w:szCs w:val="22"/>
              </w:rPr>
              <w:t>8、耐皂洗色牢：变色≥4级，毛沾色≥4级，腈纶沾色≥4级，聚酯纤维沾色≥4级，聚酰胺沾色≥4级，棉沾色≥4级，醋酯沾色≥4级；</w:t>
            </w:r>
          </w:p>
          <w:p>
            <w:pPr>
              <w:wordWrap w:val="0"/>
              <w:spacing w:line="360" w:lineRule="auto"/>
              <w:rPr>
                <w:rFonts w:hint="eastAsia"/>
                <w:sz w:val="24"/>
                <w:szCs w:val="22"/>
              </w:rPr>
            </w:pPr>
            <w:r>
              <w:rPr>
                <w:rFonts w:hint="eastAsia"/>
                <w:sz w:val="24"/>
                <w:szCs w:val="22"/>
              </w:rPr>
              <w:t>9、耐水洗色牢：变色≥4级，毛沾色≥4级，腈纶沾色≥4级，聚酯纤维沾色≥4级，聚酰胺沾色≥4级，棉沾色≥4级，醋酯沾色≥4级；</w:t>
            </w:r>
          </w:p>
          <w:p>
            <w:pPr>
              <w:wordWrap w:val="0"/>
              <w:spacing w:line="360" w:lineRule="auto"/>
              <w:rPr>
                <w:rFonts w:hint="eastAsia"/>
                <w:sz w:val="24"/>
                <w:szCs w:val="22"/>
              </w:rPr>
            </w:pPr>
            <w:r>
              <w:rPr>
                <w:rFonts w:hint="eastAsia"/>
                <w:sz w:val="24"/>
                <w:szCs w:val="22"/>
              </w:rPr>
              <w:t>10、耐干摩擦色牢度：≥4级；</w:t>
            </w:r>
          </w:p>
          <w:p>
            <w:pPr>
              <w:wordWrap w:val="0"/>
              <w:spacing w:line="360" w:lineRule="auto"/>
              <w:rPr>
                <w:rFonts w:hint="eastAsia"/>
                <w:sz w:val="24"/>
                <w:szCs w:val="22"/>
              </w:rPr>
            </w:pPr>
            <w:r>
              <w:rPr>
                <w:rFonts w:hint="eastAsia"/>
                <w:sz w:val="24"/>
                <w:szCs w:val="22"/>
              </w:rPr>
              <w:t>11、耐湿摩擦色牢度：≥4级；</w:t>
            </w:r>
          </w:p>
          <w:p>
            <w:pPr>
              <w:wordWrap w:val="0"/>
              <w:spacing w:line="360" w:lineRule="auto"/>
              <w:rPr>
                <w:rFonts w:hint="eastAsia"/>
                <w:sz w:val="24"/>
                <w:szCs w:val="22"/>
              </w:rPr>
            </w:pPr>
            <w:r>
              <w:rPr>
                <w:rFonts w:hint="eastAsia"/>
                <w:sz w:val="24"/>
                <w:szCs w:val="22"/>
              </w:rPr>
              <w:t>12、耐光色牢度：≥4级</w:t>
            </w:r>
          </w:p>
          <w:p>
            <w:pPr>
              <w:wordWrap w:val="0"/>
              <w:spacing w:line="360" w:lineRule="auto"/>
              <w:rPr>
                <w:rFonts w:hint="eastAsia"/>
                <w:sz w:val="24"/>
                <w:szCs w:val="22"/>
              </w:rPr>
            </w:pPr>
            <w:r>
              <w:rPr>
                <w:rFonts w:hint="eastAsia"/>
                <w:sz w:val="24"/>
                <w:szCs w:val="22"/>
              </w:rPr>
              <w:t>13、遮光率：≥95%；</w:t>
            </w:r>
          </w:p>
          <w:p>
            <w:pPr>
              <w:wordWrap w:val="0"/>
              <w:spacing w:line="360" w:lineRule="auto"/>
              <w:rPr>
                <w:rFonts w:hint="eastAsia"/>
                <w:sz w:val="24"/>
                <w:szCs w:val="22"/>
              </w:rPr>
            </w:pPr>
            <w:r>
              <w:rPr>
                <w:rFonts w:hint="eastAsia"/>
                <w:sz w:val="24"/>
                <w:szCs w:val="22"/>
              </w:rPr>
              <w:t>★14、邻苯二甲酸酯:不含有；</w:t>
            </w:r>
          </w:p>
          <w:p>
            <w:pPr>
              <w:wordWrap w:val="0"/>
              <w:spacing w:line="360" w:lineRule="auto"/>
              <w:rPr>
                <w:rFonts w:hint="eastAsia"/>
                <w:sz w:val="24"/>
                <w:szCs w:val="22"/>
              </w:rPr>
            </w:pPr>
            <w:r>
              <w:rPr>
                <w:rFonts w:hint="eastAsia"/>
                <w:sz w:val="24"/>
                <w:szCs w:val="22"/>
              </w:rPr>
              <w:t>★15、可萃取重金属：镉≤0.1mg/kg，钴≤1.0mg/kg，镍≤1.0mg/kg，六价铬≤0.5mg/kg，砷≤0.2mg/kg，汞≤0.02mg/kg，铅≤0.2mg/kg</w:t>
            </w:r>
          </w:p>
          <w:p>
            <w:pPr>
              <w:wordWrap w:val="0"/>
              <w:spacing w:line="360" w:lineRule="auto"/>
              <w:rPr>
                <w:rFonts w:hint="eastAsia"/>
                <w:sz w:val="24"/>
                <w:szCs w:val="22"/>
              </w:rPr>
            </w:pPr>
            <w:r>
              <w:rPr>
                <w:rFonts w:hint="eastAsia"/>
                <w:sz w:val="24"/>
                <w:szCs w:val="22"/>
              </w:rPr>
              <w:t>★16、含氯苯酚：2、3、5、6四氯苯酚≤0.05mg/kg，五氯苯酚≤0.05mg/kg</w:t>
            </w:r>
          </w:p>
          <w:p>
            <w:pPr>
              <w:wordWrap w:val="0"/>
              <w:spacing w:line="360" w:lineRule="auto"/>
              <w:rPr>
                <w:rFonts w:hint="eastAsia"/>
                <w:sz w:val="24"/>
                <w:szCs w:val="22"/>
              </w:rPr>
            </w:pPr>
            <w:r>
              <w:rPr>
                <w:rFonts w:hint="eastAsia"/>
                <w:sz w:val="24"/>
                <w:szCs w:val="22"/>
              </w:rPr>
              <w:t>17、勾丝性能：经向≥2级，纬向≥2级；</w:t>
            </w:r>
          </w:p>
          <w:p>
            <w:pPr>
              <w:wordWrap w:val="0"/>
              <w:spacing w:line="360" w:lineRule="auto"/>
              <w:rPr>
                <w:rFonts w:hint="eastAsia"/>
                <w:sz w:val="24"/>
                <w:szCs w:val="22"/>
              </w:rPr>
            </w:pPr>
            <w:r>
              <w:rPr>
                <w:rFonts w:hint="eastAsia"/>
                <w:sz w:val="24"/>
                <w:szCs w:val="22"/>
              </w:rPr>
              <w:t>18、防紫外线性能：UPF＞50，T（UPA）AV＜5%；</w:t>
            </w:r>
          </w:p>
          <w:p>
            <w:pPr>
              <w:wordWrap w:val="0"/>
              <w:spacing w:line="360" w:lineRule="auto"/>
              <w:rPr>
                <w:rFonts w:hint="eastAsia"/>
                <w:sz w:val="24"/>
                <w:szCs w:val="22"/>
              </w:rPr>
            </w:pPr>
            <w:r>
              <w:rPr>
                <w:rFonts w:hint="eastAsia"/>
                <w:sz w:val="24"/>
                <w:szCs w:val="22"/>
              </w:rPr>
              <w:t>19、起毛起球：≥4级；</w:t>
            </w:r>
          </w:p>
          <w:p>
            <w:pPr>
              <w:wordWrap w:val="0"/>
              <w:spacing w:line="360" w:lineRule="auto"/>
              <w:rPr>
                <w:rFonts w:hint="eastAsia"/>
                <w:sz w:val="24"/>
                <w:szCs w:val="22"/>
              </w:rPr>
            </w:pPr>
            <w:r>
              <w:rPr>
                <w:rFonts w:hint="eastAsia"/>
                <w:sz w:val="24"/>
                <w:szCs w:val="22"/>
              </w:rPr>
              <w:t>★20、电荷面密度（洗涤前）≤7.0μC/㎡</w:t>
            </w:r>
          </w:p>
          <w:p>
            <w:pPr>
              <w:wordWrap w:val="0"/>
              <w:spacing w:line="360" w:lineRule="auto"/>
              <w:rPr>
                <w:rFonts w:hint="eastAsia"/>
                <w:sz w:val="24"/>
                <w:szCs w:val="22"/>
              </w:rPr>
            </w:pPr>
            <w:r>
              <w:rPr>
                <w:rFonts w:hint="eastAsia"/>
                <w:sz w:val="24"/>
                <w:szCs w:val="22"/>
              </w:rPr>
              <w:t>21、断裂强力（条样法)：经向≥2000N，纬向≥1000N</w:t>
            </w:r>
          </w:p>
          <w:p>
            <w:pPr>
              <w:wordWrap w:val="0"/>
              <w:spacing w:line="360" w:lineRule="auto"/>
              <w:rPr>
                <w:rFonts w:hint="eastAsia"/>
                <w:sz w:val="24"/>
                <w:szCs w:val="22"/>
              </w:rPr>
            </w:pPr>
            <w:r>
              <w:rPr>
                <w:rFonts w:hint="eastAsia"/>
                <w:sz w:val="24"/>
                <w:szCs w:val="22"/>
              </w:rPr>
              <w:t>二、窗帘阻燃要求</w:t>
            </w:r>
          </w:p>
          <w:p>
            <w:pPr>
              <w:wordWrap w:val="0"/>
              <w:spacing w:line="360" w:lineRule="auto"/>
              <w:rPr>
                <w:rFonts w:hint="eastAsia"/>
                <w:sz w:val="24"/>
                <w:szCs w:val="22"/>
              </w:rPr>
            </w:pPr>
            <w:r>
              <w:rPr>
                <w:rFonts w:hint="eastAsia"/>
                <w:sz w:val="24"/>
                <w:szCs w:val="22"/>
              </w:rPr>
              <w:t>★1、极限氧指数：经向≥32，纬向≥32；</w:t>
            </w:r>
          </w:p>
          <w:p>
            <w:pPr>
              <w:wordWrap w:val="0"/>
              <w:spacing w:line="360" w:lineRule="auto"/>
              <w:rPr>
                <w:rFonts w:hint="eastAsia"/>
                <w:sz w:val="24"/>
                <w:szCs w:val="22"/>
              </w:rPr>
            </w:pPr>
            <w:r>
              <w:rPr>
                <w:rFonts w:hint="eastAsia"/>
                <w:sz w:val="24"/>
                <w:szCs w:val="22"/>
              </w:rPr>
              <w:t>垂直燃烧性能：</w:t>
            </w:r>
          </w:p>
          <w:p>
            <w:pPr>
              <w:wordWrap w:val="0"/>
              <w:spacing w:line="360" w:lineRule="auto"/>
              <w:rPr>
                <w:rFonts w:hint="eastAsia"/>
                <w:sz w:val="24"/>
                <w:szCs w:val="22"/>
              </w:rPr>
            </w:pPr>
            <w:r>
              <w:rPr>
                <w:rFonts w:hint="eastAsia"/>
                <w:sz w:val="24"/>
                <w:szCs w:val="22"/>
              </w:rPr>
              <w:t>2、续燃时间：经纬向（warp）≤5；</w:t>
            </w:r>
          </w:p>
          <w:p>
            <w:pPr>
              <w:wordWrap w:val="0"/>
              <w:spacing w:line="360" w:lineRule="auto"/>
              <w:rPr>
                <w:rFonts w:hint="eastAsia"/>
                <w:sz w:val="24"/>
                <w:szCs w:val="22"/>
              </w:rPr>
            </w:pPr>
            <w:r>
              <w:rPr>
                <w:rFonts w:hint="eastAsia"/>
                <w:sz w:val="24"/>
                <w:szCs w:val="22"/>
              </w:rPr>
              <w:t>3、阴燃时间：经纬向（warp）≤5；</w:t>
            </w:r>
          </w:p>
          <w:p>
            <w:pPr>
              <w:wordWrap w:val="0"/>
              <w:spacing w:line="360" w:lineRule="auto"/>
              <w:rPr>
                <w:rFonts w:hint="eastAsia"/>
                <w:sz w:val="24"/>
                <w:szCs w:val="22"/>
              </w:rPr>
            </w:pPr>
            <w:r>
              <w:rPr>
                <w:rFonts w:hint="eastAsia"/>
                <w:sz w:val="24"/>
                <w:szCs w:val="22"/>
              </w:rPr>
              <w:t>4、损毁程度：经纬向（warp）≤150；</w:t>
            </w:r>
          </w:p>
          <w:p>
            <w:pPr>
              <w:wordWrap w:val="0"/>
              <w:spacing w:line="360" w:lineRule="auto"/>
              <w:rPr>
                <w:rFonts w:hint="eastAsia"/>
                <w:sz w:val="24"/>
                <w:szCs w:val="22"/>
              </w:rPr>
            </w:pPr>
            <w:r>
              <w:rPr>
                <w:rFonts w:hint="eastAsia"/>
                <w:sz w:val="24"/>
                <w:szCs w:val="22"/>
              </w:rPr>
              <w:t>5、燃烧滴落物：未引起脱脂棉燃烧或阴燃；</w:t>
            </w:r>
          </w:p>
        </w:tc>
        <w:tc>
          <w:tcPr>
            <w:tcW w:w="1381" w:type="dxa"/>
            <w:noWrap w:val="0"/>
            <w:tcMar>
              <w:top w:w="57" w:type="dxa"/>
              <w:left w:w="57" w:type="dxa"/>
              <w:bottom w:w="0" w:type="dxa"/>
              <w:right w:w="57" w:type="dxa"/>
            </w:tcMar>
            <w:vAlign w:val="center"/>
          </w:tcPr>
          <w:p>
            <w:pPr>
              <w:spacing w:line="360" w:lineRule="auto"/>
              <w:jc w:val="center"/>
              <w:rPr>
                <w:rFonts w:hint="eastAsia"/>
              </w:rPr>
            </w:pPr>
            <w:r>
              <w:rPr>
                <w:rFonts w:hint="eastAsia"/>
              </w:rPr>
              <w:t>336.81m</w:t>
            </w:r>
            <w:r>
              <w:rPr>
                <w:rFonts w:hint="eastAsia"/>
                <w:vertAlign w:val="superscript"/>
              </w:rPr>
              <w:t>2</w:t>
            </w:r>
          </w:p>
        </w:tc>
        <w:tc>
          <w:tcPr>
            <w:tcW w:w="1772" w:type="dxa"/>
            <w:noWrap w:val="0"/>
            <w:tcMar>
              <w:top w:w="57" w:type="dxa"/>
              <w:left w:w="57" w:type="dxa"/>
              <w:bottom w:w="0" w:type="dxa"/>
              <w:right w:w="57" w:type="dxa"/>
            </w:tcMar>
            <w:vAlign w:val="center"/>
          </w:tcPr>
          <w:p>
            <w:pPr>
              <w:spacing w:line="360" w:lineRule="auto"/>
              <w:jc w:val="center"/>
              <w:rPr>
                <w:rFonts w:hint="eastAsia" w:hAnsi="宋体" w:cs="宋体"/>
                <w:b/>
                <w:bCs/>
                <w:sz w:val="24"/>
              </w:rPr>
            </w:pPr>
            <w:r>
              <w:drawing>
                <wp:inline distT="0" distB="0" distL="114300" distR="114300">
                  <wp:extent cx="1059180" cy="2520315"/>
                  <wp:effectExtent l="0" t="0" r="7620" b="13335"/>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pic:nvPicPr>
                        <pic:blipFill>
                          <a:blip r:embed="rId13"/>
                          <a:stretch>
                            <a:fillRect/>
                          </a:stretch>
                        </pic:blipFill>
                        <pic:spPr>
                          <a:xfrm>
                            <a:off x="0" y="0"/>
                            <a:ext cx="1059180" cy="252031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rFonts w:hint="eastAsia"/>
                <w:b/>
                <w:bCs/>
                <w:sz w:val="24"/>
                <w:szCs w:val="22"/>
              </w:rPr>
            </w:pPr>
            <w:r>
              <w:rPr>
                <w:rFonts w:hint="eastAsia"/>
                <w:b/>
                <w:bCs/>
                <w:sz w:val="24"/>
                <w:szCs w:val="22"/>
              </w:rPr>
              <w:t>大、中、小会议室纱帘</w:t>
            </w:r>
          </w:p>
        </w:tc>
        <w:tc>
          <w:tcPr>
            <w:tcW w:w="6298" w:type="dxa"/>
            <w:noWrap w:val="0"/>
            <w:tcMar>
              <w:top w:w="57" w:type="dxa"/>
              <w:left w:w="113" w:type="dxa"/>
              <w:bottom w:w="0" w:type="dxa"/>
              <w:right w:w="57" w:type="dxa"/>
            </w:tcMar>
            <w:vAlign w:val="center"/>
          </w:tcPr>
          <w:p>
            <w:pPr>
              <w:wordWrap w:val="0"/>
              <w:spacing w:line="360" w:lineRule="auto"/>
              <w:rPr>
                <w:rFonts w:hint="eastAsia"/>
                <w:sz w:val="24"/>
                <w:szCs w:val="22"/>
              </w:rPr>
            </w:pPr>
            <w:r>
              <w:rPr>
                <w:rFonts w:hint="eastAsia"/>
                <w:sz w:val="24"/>
                <w:szCs w:val="22"/>
              </w:rPr>
              <w:t>一、纱帘面料要求：</w:t>
            </w:r>
          </w:p>
          <w:p>
            <w:pPr>
              <w:wordWrap w:val="0"/>
              <w:spacing w:line="360" w:lineRule="auto"/>
              <w:rPr>
                <w:rFonts w:hint="eastAsia"/>
                <w:sz w:val="24"/>
                <w:szCs w:val="22"/>
              </w:rPr>
            </w:pPr>
            <w:r>
              <w:rPr>
                <w:rFonts w:hint="eastAsia"/>
                <w:sz w:val="24"/>
                <w:szCs w:val="22"/>
              </w:rPr>
              <w:t>1、纤维含量：100%聚酯纤维；</w:t>
            </w:r>
          </w:p>
          <w:p>
            <w:pPr>
              <w:wordWrap w:val="0"/>
              <w:spacing w:line="360" w:lineRule="auto"/>
              <w:rPr>
                <w:rFonts w:hint="eastAsia"/>
                <w:sz w:val="24"/>
                <w:szCs w:val="22"/>
              </w:rPr>
            </w:pPr>
            <w:r>
              <w:rPr>
                <w:rFonts w:hint="eastAsia"/>
                <w:sz w:val="24"/>
                <w:szCs w:val="22"/>
              </w:rPr>
              <w:t>2、甲醛含量：≤75mg/kg；</w:t>
            </w:r>
          </w:p>
          <w:p>
            <w:pPr>
              <w:wordWrap w:val="0"/>
              <w:spacing w:line="360" w:lineRule="auto"/>
              <w:rPr>
                <w:rFonts w:hint="eastAsia"/>
                <w:sz w:val="24"/>
                <w:szCs w:val="22"/>
              </w:rPr>
            </w:pPr>
            <w:r>
              <w:rPr>
                <w:rFonts w:hint="eastAsia"/>
                <w:sz w:val="24"/>
                <w:szCs w:val="22"/>
              </w:rPr>
              <w:t>3、异味：无异味；</w:t>
            </w:r>
          </w:p>
          <w:p>
            <w:pPr>
              <w:wordWrap w:val="0"/>
              <w:spacing w:line="360" w:lineRule="auto"/>
              <w:rPr>
                <w:rFonts w:hint="eastAsia"/>
                <w:sz w:val="24"/>
                <w:szCs w:val="22"/>
              </w:rPr>
            </w:pPr>
            <w:r>
              <w:rPr>
                <w:rFonts w:hint="eastAsia"/>
                <w:sz w:val="24"/>
                <w:szCs w:val="22"/>
              </w:rPr>
              <w:t>4、耐皂洗色牢度：变色≥4级，沾色≥4级</w:t>
            </w:r>
          </w:p>
          <w:p>
            <w:pPr>
              <w:wordWrap w:val="0"/>
              <w:spacing w:line="360" w:lineRule="auto"/>
              <w:rPr>
                <w:rFonts w:hint="eastAsia"/>
                <w:sz w:val="24"/>
                <w:szCs w:val="22"/>
              </w:rPr>
            </w:pPr>
            <w:r>
              <w:rPr>
                <w:rFonts w:hint="eastAsia"/>
                <w:sz w:val="24"/>
                <w:szCs w:val="22"/>
              </w:rPr>
              <w:t>5、PH值为4.0-9.0；</w:t>
            </w:r>
          </w:p>
          <w:p>
            <w:pPr>
              <w:wordWrap w:val="0"/>
              <w:spacing w:line="360" w:lineRule="auto"/>
              <w:rPr>
                <w:rFonts w:hint="eastAsia"/>
                <w:sz w:val="24"/>
                <w:szCs w:val="22"/>
              </w:rPr>
            </w:pPr>
            <w:r>
              <w:rPr>
                <w:rFonts w:hint="eastAsia"/>
                <w:sz w:val="24"/>
                <w:szCs w:val="22"/>
              </w:rPr>
              <w:t>6、无可分解致癌芳香胺染料，</w:t>
            </w:r>
          </w:p>
          <w:p>
            <w:pPr>
              <w:wordWrap w:val="0"/>
              <w:spacing w:line="360" w:lineRule="auto"/>
              <w:rPr>
                <w:rFonts w:hint="eastAsia"/>
                <w:sz w:val="24"/>
                <w:szCs w:val="22"/>
              </w:rPr>
            </w:pPr>
            <w:r>
              <w:rPr>
                <w:rFonts w:hint="eastAsia"/>
                <w:sz w:val="24"/>
                <w:szCs w:val="22"/>
              </w:rPr>
              <w:t>7、水洗尺寸变化率：经向：≤±2％，纬向≤±2％，</w:t>
            </w:r>
          </w:p>
          <w:p>
            <w:pPr>
              <w:wordWrap w:val="0"/>
              <w:spacing w:line="360" w:lineRule="auto"/>
              <w:rPr>
                <w:rFonts w:hint="eastAsia"/>
                <w:sz w:val="24"/>
                <w:szCs w:val="22"/>
              </w:rPr>
            </w:pPr>
            <w:r>
              <w:rPr>
                <w:rFonts w:hint="eastAsia"/>
                <w:sz w:val="24"/>
                <w:szCs w:val="22"/>
              </w:rPr>
              <w:t>8、干洗尺寸变化率：经向：≤±2％，纬向≤±2％，</w:t>
            </w:r>
          </w:p>
          <w:p>
            <w:pPr>
              <w:wordWrap w:val="0"/>
              <w:spacing w:line="360" w:lineRule="auto"/>
              <w:rPr>
                <w:rFonts w:hint="eastAsia"/>
                <w:sz w:val="24"/>
                <w:szCs w:val="22"/>
              </w:rPr>
            </w:pPr>
            <w:r>
              <w:rPr>
                <w:rFonts w:hint="eastAsia"/>
                <w:sz w:val="24"/>
                <w:szCs w:val="22"/>
              </w:rPr>
              <w:t>9、单位面积克重：95g/㎡±5g</w:t>
            </w:r>
          </w:p>
          <w:p>
            <w:pPr>
              <w:wordWrap w:val="0"/>
              <w:spacing w:line="360" w:lineRule="auto"/>
              <w:rPr>
                <w:rFonts w:hint="eastAsia"/>
                <w:sz w:val="24"/>
                <w:szCs w:val="22"/>
              </w:rPr>
            </w:pPr>
            <w:r>
              <w:rPr>
                <w:rFonts w:hint="eastAsia"/>
                <w:sz w:val="24"/>
                <w:szCs w:val="22"/>
              </w:rPr>
              <w:t>二、纱帘阻燃要求：</w:t>
            </w:r>
          </w:p>
          <w:p>
            <w:pPr>
              <w:wordWrap w:val="0"/>
              <w:spacing w:line="360" w:lineRule="auto"/>
              <w:rPr>
                <w:rFonts w:hint="eastAsia"/>
                <w:sz w:val="24"/>
                <w:szCs w:val="22"/>
              </w:rPr>
            </w:pPr>
            <w:r>
              <w:rPr>
                <w:rFonts w:hint="eastAsia"/>
                <w:sz w:val="24"/>
                <w:szCs w:val="22"/>
              </w:rPr>
              <w:t>垂直燃烧性能：</w:t>
            </w:r>
          </w:p>
          <w:p>
            <w:pPr>
              <w:wordWrap w:val="0"/>
              <w:spacing w:line="360" w:lineRule="auto"/>
              <w:rPr>
                <w:rFonts w:hint="eastAsia"/>
                <w:sz w:val="24"/>
                <w:szCs w:val="22"/>
              </w:rPr>
            </w:pPr>
            <w:r>
              <w:rPr>
                <w:rFonts w:hint="eastAsia"/>
                <w:sz w:val="24"/>
                <w:szCs w:val="22"/>
              </w:rPr>
              <w:t>2、续燃时间：经纬向（warp）≤5；</w:t>
            </w:r>
          </w:p>
          <w:p>
            <w:pPr>
              <w:wordWrap w:val="0"/>
              <w:spacing w:line="360" w:lineRule="auto"/>
              <w:rPr>
                <w:rFonts w:hint="eastAsia"/>
                <w:sz w:val="24"/>
                <w:szCs w:val="22"/>
              </w:rPr>
            </w:pPr>
            <w:r>
              <w:rPr>
                <w:rFonts w:hint="eastAsia"/>
                <w:sz w:val="24"/>
                <w:szCs w:val="22"/>
              </w:rPr>
              <w:t>3、阴燃时间：经纬向（warp）≤5；</w:t>
            </w:r>
          </w:p>
          <w:p>
            <w:pPr>
              <w:wordWrap w:val="0"/>
              <w:spacing w:line="360" w:lineRule="auto"/>
              <w:rPr>
                <w:rFonts w:hint="eastAsia"/>
                <w:sz w:val="24"/>
                <w:szCs w:val="22"/>
              </w:rPr>
            </w:pPr>
            <w:r>
              <w:rPr>
                <w:rFonts w:hint="eastAsia"/>
                <w:sz w:val="24"/>
                <w:szCs w:val="22"/>
              </w:rPr>
              <w:t>4、损毁程度：经纬向（warp）≤150；</w:t>
            </w:r>
          </w:p>
        </w:tc>
        <w:tc>
          <w:tcPr>
            <w:tcW w:w="1381" w:type="dxa"/>
            <w:noWrap w:val="0"/>
            <w:tcMar>
              <w:top w:w="57" w:type="dxa"/>
              <w:left w:w="57" w:type="dxa"/>
              <w:bottom w:w="0" w:type="dxa"/>
              <w:right w:w="57" w:type="dxa"/>
            </w:tcMar>
            <w:vAlign w:val="center"/>
          </w:tcPr>
          <w:p>
            <w:pPr>
              <w:spacing w:line="360" w:lineRule="auto"/>
              <w:jc w:val="center"/>
            </w:pPr>
            <w:r>
              <w:rPr>
                <w:rFonts w:hint="eastAsia"/>
              </w:rPr>
              <w:t>336.81m</w:t>
            </w:r>
            <w:r>
              <w:rPr>
                <w:rFonts w:hint="eastAsia"/>
                <w:vertAlign w:val="superscript"/>
              </w:rPr>
              <w:t>2</w:t>
            </w:r>
          </w:p>
        </w:tc>
        <w:tc>
          <w:tcPr>
            <w:tcW w:w="1772" w:type="dxa"/>
            <w:noWrap w:val="0"/>
            <w:tcMar>
              <w:top w:w="57" w:type="dxa"/>
              <w:left w:w="57" w:type="dxa"/>
              <w:bottom w:w="0" w:type="dxa"/>
              <w:right w:w="57" w:type="dxa"/>
            </w:tcMar>
            <w:vAlign w:val="center"/>
          </w:tcPr>
          <w:p>
            <w:pPr>
              <w:spacing w:line="360" w:lineRule="auto"/>
              <w:jc w:val="center"/>
            </w:pPr>
            <w:r>
              <w:drawing>
                <wp:inline distT="0" distB="0" distL="114300" distR="114300">
                  <wp:extent cx="1020445" cy="2714625"/>
                  <wp:effectExtent l="0" t="0" r="8255" b="9525"/>
                  <wp:docPr id="14" name="图片 2" descr="说明: 1591076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说明: 1591076919(1)"/>
                          <pic:cNvPicPr>
                            <a:picLocks noChangeAspect="1"/>
                          </pic:cNvPicPr>
                        </pic:nvPicPr>
                        <pic:blipFill>
                          <a:blip r:embed="rId14"/>
                          <a:stretch>
                            <a:fillRect/>
                          </a:stretch>
                        </pic:blipFill>
                        <pic:spPr>
                          <a:xfrm>
                            <a:off x="0" y="0"/>
                            <a:ext cx="1020445" cy="271462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rFonts w:hint="eastAsia"/>
                <w:sz w:val="24"/>
                <w:szCs w:val="22"/>
              </w:rPr>
            </w:pPr>
            <w:r>
              <w:rPr>
                <w:rFonts w:hint="eastAsia"/>
                <w:b/>
                <w:bCs/>
                <w:sz w:val="24"/>
                <w:szCs w:val="22"/>
              </w:rPr>
              <w:t>布艺帘辅料</w:t>
            </w:r>
          </w:p>
        </w:tc>
        <w:tc>
          <w:tcPr>
            <w:tcW w:w="6298" w:type="dxa"/>
            <w:noWrap w:val="0"/>
            <w:tcMar>
              <w:top w:w="57" w:type="dxa"/>
              <w:left w:w="57" w:type="dxa"/>
              <w:bottom w:w="0" w:type="dxa"/>
              <w:right w:w="57" w:type="dxa"/>
            </w:tcMar>
            <w:vAlign w:val="center"/>
          </w:tcPr>
          <w:p>
            <w:pPr>
              <w:wordWrap w:val="0"/>
              <w:spacing w:line="360" w:lineRule="auto"/>
              <w:rPr>
                <w:rFonts w:hint="eastAsia"/>
                <w:sz w:val="24"/>
                <w:szCs w:val="22"/>
              </w:rPr>
            </w:pPr>
            <w:r>
              <w:rPr>
                <w:rFonts w:hint="eastAsia"/>
                <w:sz w:val="24"/>
                <w:szCs w:val="22"/>
              </w:rPr>
              <w:t>一、衬布</w:t>
            </w:r>
          </w:p>
          <w:p>
            <w:pPr>
              <w:wordWrap w:val="0"/>
              <w:spacing w:line="360" w:lineRule="auto"/>
              <w:rPr>
                <w:rFonts w:hint="eastAsia"/>
                <w:sz w:val="24"/>
                <w:szCs w:val="22"/>
              </w:rPr>
            </w:pPr>
            <w:r>
              <w:rPr>
                <w:rFonts w:hint="eastAsia"/>
                <w:sz w:val="24"/>
                <w:szCs w:val="22"/>
              </w:rPr>
              <w:t>★1、纤维含量：100%聚酯纤维；</w:t>
            </w:r>
          </w:p>
          <w:p>
            <w:pPr>
              <w:wordWrap w:val="0"/>
              <w:spacing w:line="360" w:lineRule="auto"/>
              <w:rPr>
                <w:rFonts w:hint="eastAsia"/>
                <w:sz w:val="24"/>
                <w:szCs w:val="22"/>
              </w:rPr>
            </w:pPr>
            <w:r>
              <w:rPr>
                <w:rFonts w:hint="eastAsia"/>
                <w:sz w:val="24"/>
                <w:szCs w:val="22"/>
              </w:rPr>
              <w:t>★2、甲醛含量：≤300mg/kg；</w:t>
            </w:r>
          </w:p>
          <w:p>
            <w:pPr>
              <w:wordWrap w:val="0"/>
              <w:spacing w:line="360" w:lineRule="auto"/>
              <w:rPr>
                <w:rFonts w:hint="eastAsia"/>
                <w:sz w:val="24"/>
                <w:szCs w:val="22"/>
              </w:rPr>
            </w:pPr>
            <w:r>
              <w:rPr>
                <w:rFonts w:hint="eastAsia"/>
                <w:sz w:val="24"/>
                <w:szCs w:val="22"/>
              </w:rPr>
              <w:t>3、耐水色牢度≥5级；</w:t>
            </w:r>
          </w:p>
          <w:p>
            <w:pPr>
              <w:wordWrap w:val="0"/>
              <w:spacing w:line="360" w:lineRule="auto"/>
              <w:rPr>
                <w:rFonts w:hint="eastAsia"/>
                <w:sz w:val="24"/>
                <w:szCs w:val="22"/>
              </w:rPr>
            </w:pPr>
            <w:r>
              <w:rPr>
                <w:rFonts w:hint="eastAsia"/>
                <w:sz w:val="24"/>
                <w:szCs w:val="22"/>
              </w:rPr>
              <w:t>4、耐酸汗渍色牢度≥4级；</w:t>
            </w:r>
          </w:p>
          <w:p>
            <w:pPr>
              <w:wordWrap w:val="0"/>
              <w:spacing w:line="360" w:lineRule="auto"/>
              <w:rPr>
                <w:rFonts w:hint="eastAsia"/>
                <w:sz w:val="24"/>
                <w:szCs w:val="22"/>
              </w:rPr>
            </w:pPr>
            <w:r>
              <w:rPr>
                <w:rFonts w:hint="eastAsia"/>
                <w:sz w:val="24"/>
                <w:szCs w:val="22"/>
              </w:rPr>
              <w:t>5、耐碱汗渍色牢度≥4级；</w:t>
            </w:r>
          </w:p>
          <w:p>
            <w:pPr>
              <w:wordWrap w:val="0"/>
              <w:spacing w:line="360" w:lineRule="auto"/>
              <w:rPr>
                <w:rFonts w:hint="eastAsia"/>
                <w:sz w:val="24"/>
                <w:szCs w:val="22"/>
              </w:rPr>
            </w:pPr>
            <w:r>
              <w:rPr>
                <w:rFonts w:hint="eastAsia"/>
                <w:sz w:val="24"/>
                <w:szCs w:val="22"/>
              </w:rPr>
              <w:t>6、耐干摩擦色牢度≥4级；</w:t>
            </w:r>
          </w:p>
          <w:p>
            <w:pPr>
              <w:wordWrap w:val="0"/>
              <w:spacing w:line="360" w:lineRule="auto"/>
              <w:rPr>
                <w:rFonts w:hint="eastAsia"/>
                <w:sz w:val="24"/>
                <w:szCs w:val="22"/>
              </w:rPr>
            </w:pPr>
            <w:r>
              <w:rPr>
                <w:rFonts w:hint="eastAsia"/>
                <w:sz w:val="24"/>
                <w:szCs w:val="22"/>
              </w:rPr>
              <w:t>7、PH值：4-9级；</w:t>
            </w:r>
          </w:p>
          <w:p>
            <w:pPr>
              <w:wordWrap w:val="0"/>
              <w:spacing w:line="360" w:lineRule="auto"/>
              <w:rPr>
                <w:rFonts w:hint="eastAsia"/>
                <w:sz w:val="24"/>
                <w:szCs w:val="22"/>
              </w:rPr>
            </w:pPr>
            <w:r>
              <w:rPr>
                <w:rFonts w:hint="eastAsia"/>
                <w:sz w:val="24"/>
                <w:szCs w:val="22"/>
              </w:rPr>
              <w:t>8、耐皂洗色牢度≥4级；</w:t>
            </w:r>
          </w:p>
          <w:p>
            <w:pPr>
              <w:wordWrap w:val="0"/>
              <w:spacing w:line="360" w:lineRule="auto"/>
              <w:rPr>
                <w:rFonts w:hint="eastAsia"/>
                <w:sz w:val="24"/>
                <w:szCs w:val="22"/>
              </w:rPr>
            </w:pPr>
            <w:r>
              <w:rPr>
                <w:rFonts w:hint="eastAsia"/>
                <w:sz w:val="24"/>
                <w:szCs w:val="22"/>
              </w:rPr>
              <w:t>9、耐湿摩擦色牢度≥4级；</w:t>
            </w:r>
          </w:p>
          <w:p>
            <w:pPr>
              <w:wordWrap w:val="0"/>
              <w:spacing w:line="360" w:lineRule="auto"/>
              <w:rPr>
                <w:rFonts w:hint="eastAsia"/>
                <w:sz w:val="24"/>
                <w:szCs w:val="22"/>
              </w:rPr>
            </w:pPr>
            <w:r>
              <w:rPr>
                <w:rFonts w:hint="eastAsia"/>
                <w:sz w:val="24"/>
                <w:szCs w:val="22"/>
              </w:rPr>
              <w:t>10、耐光色牢度≥5级；</w:t>
            </w:r>
          </w:p>
          <w:p>
            <w:pPr>
              <w:wordWrap w:val="0"/>
              <w:spacing w:line="360" w:lineRule="auto"/>
              <w:rPr>
                <w:rFonts w:hint="eastAsia"/>
                <w:sz w:val="24"/>
                <w:szCs w:val="22"/>
              </w:rPr>
            </w:pPr>
            <w:r>
              <w:rPr>
                <w:rFonts w:hint="eastAsia"/>
                <w:sz w:val="24"/>
                <w:szCs w:val="22"/>
              </w:rPr>
              <w:t>★11、断裂强力≥500N；</w:t>
            </w:r>
          </w:p>
          <w:p>
            <w:pPr>
              <w:wordWrap w:val="0"/>
              <w:spacing w:line="360" w:lineRule="auto"/>
              <w:rPr>
                <w:rFonts w:hint="eastAsia"/>
                <w:sz w:val="24"/>
                <w:szCs w:val="22"/>
              </w:rPr>
            </w:pPr>
            <w:r>
              <w:rPr>
                <w:rFonts w:hint="eastAsia"/>
                <w:sz w:val="24"/>
                <w:szCs w:val="22"/>
              </w:rPr>
              <w:t>★12、单位面积克重≥240g/㎡；</w:t>
            </w:r>
          </w:p>
          <w:p>
            <w:pPr>
              <w:wordWrap w:val="0"/>
              <w:spacing w:line="360" w:lineRule="auto"/>
              <w:rPr>
                <w:rFonts w:hint="eastAsia"/>
                <w:sz w:val="24"/>
                <w:szCs w:val="22"/>
              </w:rPr>
            </w:pPr>
            <w:r>
              <w:rPr>
                <w:rFonts w:hint="eastAsia"/>
                <w:sz w:val="24"/>
                <w:szCs w:val="22"/>
              </w:rPr>
              <w:t>13、防紫外性能：UPF≥8%，T（UVA）AV≤8.43%, T（UVB）AV≤12.37%；</w:t>
            </w:r>
          </w:p>
          <w:p>
            <w:pPr>
              <w:wordWrap w:val="0"/>
              <w:spacing w:line="360" w:lineRule="auto"/>
              <w:rPr>
                <w:rFonts w:hint="eastAsia"/>
                <w:sz w:val="24"/>
                <w:szCs w:val="22"/>
              </w:rPr>
            </w:pPr>
            <w:r>
              <w:rPr>
                <w:rFonts w:hint="eastAsia"/>
                <w:sz w:val="24"/>
                <w:szCs w:val="22"/>
              </w:rPr>
              <w:t>14、无禁用的可分解芳香胺染料；</w:t>
            </w:r>
          </w:p>
          <w:p>
            <w:pPr>
              <w:wordWrap w:val="0"/>
              <w:spacing w:line="360" w:lineRule="auto"/>
              <w:rPr>
                <w:rFonts w:hint="eastAsia"/>
                <w:sz w:val="24"/>
                <w:szCs w:val="22"/>
              </w:rPr>
            </w:pPr>
            <w:r>
              <w:rPr>
                <w:rFonts w:hint="eastAsia"/>
                <w:sz w:val="24"/>
                <w:szCs w:val="22"/>
              </w:rPr>
              <w:t>15、异味：无。</w:t>
            </w:r>
          </w:p>
          <w:p>
            <w:pPr>
              <w:wordWrap w:val="0"/>
              <w:spacing w:line="360" w:lineRule="auto"/>
              <w:rPr>
                <w:rFonts w:hint="eastAsia"/>
                <w:sz w:val="24"/>
                <w:szCs w:val="22"/>
              </w:rPr>
            </w:pPr>
            <w:r>
              <w:rPr>
                <w:rFonts w:hint="eastAsia"/>
                <w:sz w:val="24"/>
                <w:szCs w:val="22"/>
              </w:rPr>
              <w:t>二、挂钩</w:t>
            </w:r>
          </w:p>
          <w:p>
            <w:pPr>
              <w:wordWrap w:val="0"/>
              <w:spacing w:line="360" w:lineRule="auto"/>
              <w:rPr>
                <w:rFonts w:hint="eastAsia"/>
                <w:sz w:val="24"/>
                <w:szCs w:val="22"/>
              </w:rPr>
            </w:pPr>
            <w:r>
              <w:rPr>
                <w:rFonts w:hint="eastAsia"/>
                <w:sz w:val="24"/>
                <w:szCs w:val="22"/>
              </w:rPr>
              <w:t>1、形状S型；</w:t>
            </w:r>
          </w:p>
          <w:p>
            <w:pPr>
              <w:wordWrap w:val="0"/>
              <w:spacing w:line="360" w:lineRule="auto"/>
              <w:rPr>
                <w:rFonts w:hint="eastAsia"/>
                <w:sz w:val="24"/>
                <w:szCs w:val="22"/>
              </w:rPr>
            </w:pPr>
            <w:r>
              <w:rPr>
                <w:rFonts w:hint="eastAsia"/>
                <w:sz w:val="24"/>
                <w:szCs w:val="22"/>
              </w:rPr>
              <w:t>2、材质：低碳钢；表面处理：镀锌。</w:t>
            </w:r>
          </w:p>
        </w:tc>
        <w:tc>
          <w:tcPr>
            <w:tcW w:w="1381" w:type="dxa"/>
            <w:noWrap w:val="0"/>
            <w:tcMar>
              <w:top w:w="57" w:type="dxa"/>
              <w:left w:w="57" w:type="dxa"/>
              <w:bottom w:w="0" w:type="dxa"/>
              <w:right w:w="57" w:type="dxa"/>
            </w:tcMar>
            <w:vAlign w:val="center"/>
          </w:tcPr>
          <w:p>
            <w:pPr>
              <w:wordWrap w:val="0"/>
              <w:spacing w:line="360" w:lineRule="auto"/>
              <w:rPr>
                <w:rFonts w:hint="eastAsia"/>
              </w:rPr>
            </w:pPr>
            <w:r>
              <w:rPr>
                <w:rFonts w:hint="eastAsia"/>
              </w:rPr>
              <w:t>240.60m</w:t>
            </w:r>
          </w:p>
        </w:tc>
        <w:tc>
          <w:tcPr>
            <w:tcW w:w="1772" w:type="dxa"/>
            <w:noWrap w:val="0"/>
            <w:tcMar>
              <w:top w:w="57" w:type="dxa"/>
              <w:left w:w="57" w:type="dxa"/>
              <w:bottom w:w="0" w:type="dxa"/>
              <w:right w:w="57" w:type="dxa"/>
            </w:tcMar>
            <w:vAlign w:val="center"/>
          </w:tcPr>
          <w:p>
            <w:pPr>
              <w:wordWrap w:val="0"/>
              <w:spacing w:line="360" w:lineRule="auto"/>
              <w:rPr>
                <w:rFonts w:hint="eastAsia"/>
                <w:sz w:val="24"/>
                <w:szCs w:val="22"/>
              </w:rPr>
            </w:pPr>
            <w:r>
              <w:drawing>
                <wp:inline distT="0" distB="0" distL="114300" distR="114300">
                  <wp:extent cx="1068705" cy="2520315"/>
                  <wp:effectExtent l="0" t="0" r="17145" b="13335"/>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5"/>
                          <a:stretch>
                            <a:fillRect/>
                          </a:stretch>
                        </pic:blipFill>
                        <pic:spPr>
                          <a:xfrm>
                            <a:off x="0" y="0"/>
                            <a:ext cx="1068705" cy="252031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b/>
                <w:bCs/>
                <w:sz w:val="24"/>
                <w:szCs w:val="22"/>
              </w:rPr>
            </w:pPr>
            <w:r>
              <w:rPr>
                <w:rFonts w:hint="eastAsia"/>
                <w:b/>
                <w:bCs/>
                <w:sz w:val="24"/>
                <w:szCs w:val="22"/>
              </w:rPr>
              <w:t>布艺帘轨道</w:t>
            </w:r>
          </w:p>
        </w:tc>
        <w:tc>
          <w:tcPr>
            <w:tcW w:w="6298" w:type="dxa"/>
            <w:noWrap w:val="0"/>
            <w:tcMar>
              <w:top w:w="57" w:type="dxa"/>
              <w:left w:w="57" w:type="dxa"/>
              <w:bottom w:w="0" w:type="dxa"/>
              <w:right w:w="57" w:type="dxa"/>
            </w:tcMar>
            <w:vAlign w:val="center"/>
          </w:tcPr>
          <w:p>
            <w:pPr>
              <w:wordWrap w:val="0"/>
              <w:spacing w:line="360" w:lineRule="auto"/>
              <w:rPr>
                <w:rFonts w:hint="eastAsia"/>
                <w:sz w:val="24"/>
                <w:szCs w:val="22"/>
              </w:rPr>
            </w:pPr>
            <w:r>
              <w:rPr>
                <w:rFonts w:hint="eastAsia"/>
                <w:sz w:val="24"/>
                <w:szCs w:val="22"/>
              </w:rPr>
              <w:t>1、轨道材质：铝合金；</w:t>
            </w:r>
          </w:p>
          <w:p>
            <w:pPr>
              <w:wordWrap w:val="0"/>
              <w:spacing w:line="360" w:lineRule="auto"/>
              <w:rPr>
                <w:rFonts w:hint="eastAsia"/>
                <w:sz w:val="24"/>
                <w:szCs w:val="22"/>
              </w:rPr>
            </w:pPr>
            <w:r>
              <w:rPr>
                <w:rFonts w:hint="eastAsia"/>
                <w:sz w:val="24"/>
                <w:szCs w:val="22"/>
              </w:rPr>
              <w:t>2、滑轮材质：聚甲醛树脂；</w:t>
            </w:r>
          </w:p>
          <w:p>
            <w:pPr>
              <w:wordWrap w:val="0"/>
              <w:spacing w:line="360" w:lineRule="auto"/>
              <w:rPr>
                <w:rFonts w:hint="eastAsia"/>
                <w:sz w:val="24"/>
                <w:szCs w:val="22"/>
              </w:rPr>
            </w:pPr>
            <w:r>
              <w:rPr>
                <w:rFonts w:hint="eastAsia"/>
                <w:sz w:val="24"/>
                <w:szCs w:val="22"/>
              </w:rPr>
              <w:t>★3、单个吊轮承重：≥6KG；</w:t>
            </w:r>
          </w:p>
          <w:p>
            <w:pPr>
              <w:wordWrap w:val="0"/>
              <w:spacing w:line="360" w:lineRule="auto"/>
              <w:rPr>
                <w:rFonts w:hint="eastAsia"/>
                <w:sz w:val="24"/>
                <w:szCs w:val="22"/>
              </w:rPr>
            </w:pPr>
            <w:r>
              <w:rPr>
                <w:rFonts w:hint="eastAsia"/>
                <w:sz w:val="24"/>
                <w:szCs w:val="22"/>
              </w:rPr>
              <w:t>4、外形尺寸宽≥33mm，高≥25mm；</w:t>
            </w:r>
          </w:p>
          <w:p>
            <w:pPr>
              <w:wordWrap w:val="0"/>
              <w:spacing w:line="360" w:lineRule="auto"/>
              <w:rPr>
                <w:rFonts w:hint="eastAsia"/>
                <w:sz w:val="24"/>
                <w:szCs w:val="22"/>
              </w:rPr>
            </w:pPr>
            <w:r>
              <w:rPr>
                <w:rFonts w:hint="eastAsia"/>
                <w:sz w:val="24"/>
                <w:szCs w:val="22"/>
              </w:rPr>
              <w:t>5、轨道封头≥35mm；</w:t>
            </w:r>
          </w:p>
          <w:p>
            <w:pPr>
              <w:wordWrap w:val="0"/>
              <w:spacing w:line="360" w:lineRule="auto"/>
              <w:rPr>
                <w:rFonts w:hint="eastAsia"/>
                <w:sz w:val="24"/>
                <w:szCs w:val="22"/>
              </w:rPr>
            </w:pPr>
            <w:r>
              <w:rPr>
                <w:rFonts w:hint="eastAsia"/>
                <w:sz w:val="24"/>
                <w:szCs w:val="22"/>
              </w:rPr>
              <w:t>★6、铝合金壁厚（含膜）：≥1.95mm；</w:t>
            </w:r>
          </w:p>
          <w:p>
            <w:pPr>
              <w:wordWrap w:val="0"/>
              <w:spacing w:line="360" w:lineRule="auto"/>
              <w:rPr>
                <w:rFonts w:hint="eastAsia"/>
                <w:sz w:val="24"/>
                <w:szCs w:val="22"/>
              </w:rPr>
            </w:pPr>
            <w:r>
              <w:rPr>
                <w:rFonts w:hint="eastAsia"/>
                <w:sz w:val="24"/>
                <w:szCs w:val="22"/>
              </w:rPr>
              <w:t>★7、轨道每米承重：≥55kg；</w:t>
            </w:r>
          </w:p>
          <w:p>
            <w:pPr>
              <w:wordWrap w:val="0"/>
              <w:spacing w:line="360" w:lineRule="auto"/>
              <w:rPr>
                <w:rFonts w:hint="eastAsia"/>
                <w:sz w:val="24"/>
                <w:szCs w:val="22"/>
              </w:rPr>
            </w:pPr>
            <w:r>
              <w:rPr>
                <w:rFonts w:hint="eastAsia"/>
                <w:sz w:val="24"/>
                <w:szCs w:val="22"/>
              </w:rPr>
              <w:t>★8、支架每个承重：≥22kg。</w:t>
            </w:r>
          </w:p>
        </w:tc>
        <w:tc>
          <w:tcPr>
            <w:tcW w:w="1381" w:type="dxa"/>
            <w:noWrap w:val="0"/>
            <w:tcMar>
              <w:top w:w="57" w:type="dxa"/>
              <w:left w:w="57" w:type="dxa"/>
              <w:bottom w:w="0" w:type="dxa"/>
              <w:right w:w="57" w:type="dxa"/>
            </w:tcMar>
            <w:vAlign w:val="center"/>
          </w:tcPr>
          <w:p>
            <w:pPr>
              <w:wordWrap w:val="0"/>
              <w:spacing w:line="360" w:lineRule="auto"/>
              <w:jc w:val="center"/>
              <w:rPr>
                <w:rFonts w:hint="eastAsia"/>
              </w:rPr>
            </w:pPr>
            <w:r>
              <w:rPr>
                <w:rFonts w:hint="eastAsia"/>
              </w:rPr>
              <w:t>96.23m</w:t>
            </w:r>
          </w:p>
        </w:tc>
        <w:tc>
          <w:tcPr>
            <w:tcW w:w="1772" w:type="dxa"/>
            <w:noWrap w:val="0"/>
            <w:tcMar>
              <w:top w:w="57" w:type="dxa"/>
              <w:left w:w="57" w:type="dxa"/>
              <w:bottom w:w="0" w:type="dxa"/>
              <w:right w:w="57" w:type="dxa"/>
            </w:tcMar>
            <w:vAlign w:val="center"/>
          </w:tcPr>
          <w:p>
            <w:pPr>
              <w:wordWrap w:val="0"/>
              <w:spacing w:line="360" w:lineRule="auto"/>
              <w:jc w:val="center"/>
              <w:rPr>
                <w:rFonts w:hint="eastAsia"/>
                <w:sz w:val="24"/>
                <w:szCs w:val="22"/>
              </w:rPr>
            </w:pPr>
            <w:r>
              <w:drawing>
                <wp:inline distT="0" distB="0" distL="114300" distR="114300">
                  <wp:extent cx="613410" cy="2420620"/>
                  <wp:effectExtent l="0" t="0" r="15240" b="17780"/>
                  <wp:docPr id="10" name="图片 4" descr="未命名"/>
                  <wp:cNvGraphicFramePr/>
                  <a:graphic xmlns:a="http://schemas.openxmlformats.org/drawingml/2006/main">
                    <a:graphicData uri="http://schemas.openxmlformats.org/drawingml/2006/picture">
                      <pic:pic xmlns:pic="http://schemas.openxmlformats.org/drawingml/2006/picture">
                        <pic:nvPicPr>
                          <pic:cNvPr id="10" name="图片 4" descr="未命名"/>
                          <pic:cNvPicPr/>
                        </pic:nvPicPr>
                        <pic:blipFill>
                          <a:blip r:embed="rId16"/>
                          <a:srcRect l="16795"/>
                          <a:stretch>
                            <a:fillRect/>
                          </a:stretch>
                        </pic:blipFill>
                        <pic:spPr>
                          <a:xfrm>
                            <a:off x="0" y="0"/>
                            <a:ext cx="613410" cy="242062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rFonts w:hint="eastAsia"/>
                <w:b/>
                <w:bCs/>
                <w:sz w:val="24"/>
                <w:szCs w:val="22"/>
              </w:rPr>
            </w:pPr>
            <w:r>
              <w:rPr>
                <w:rFonts w:hint="eastAsia"/>
                <w:b/>
                <w:bCs/>
                <w:sz w:val="24"/>
                <w:szCs w:val="22"/>
              </w:rPr>
              <w:t>办公室内窗铝百叶帘</w:t>
            </w:r>
          </w:p>
        </w:tc>
        <w:tc>
          <w:tcPr>
            <w:tcW w:w="6298" w:type="dxa"/>
            <w:noWrap w:val="0"/>
            <w:tcMar>
              <w:top w:w="57" w:type="dxa"/>
              <w:left w:w="57" w:type="dxa"/>
              <w:bottom w:w="0" w:type="dxa"/>
              <w:right w:w="57" w:type="dxa"/>
            </w:tcMar>
            <w:vAlign w:val="top"/>
          </w:tcPr>
          <w:p>
            <w:pPr>
              <w:pStyle w:val="41"/>
              <w:spacing w:line="360" w:lineRule="auto"/>
              <w:ind w:firstLine="0" w:firstLineChars="0"/>
              <w:rPr>
                <w:rFonts w:hAnsi="宋体"/>
                <w:b/>
                <w:bCs/>
                <w:color w:val="000000"/>
                <w:sz w:val="24"/>
              </w:rPr>
            </w:pPr>
            <w:r>
              <w:rPr>
                <w:rFonts w:hint="eastAsia" w:hAnsi="宋体"/>
                <w:b/>
                <w:bCs/>
                <w:color w:val="000000"/>
                <w:sz w:val="24"/>
              </w:rPr>
              <w:t>铝合金上梁：</w:t>
            </w:r>
          </w:p>
          <w:p>
            <w:pPr>
              <w:pStyle w:val="41"/>
              <w:spacing w:line="360" w:lineRule="auto"/>
              <w:ind w:firstLine="0" w:firstLineChars="0"/>
              <w:rPr>
                <w:rFonts w:hAnsi="宋体"/>
                <w:color w:val="000000"/>
                <w:sz w:val="24"/>
              </w:rPr>
            </w:pPr>
            <w:r>
              <w:rPr>
                <w:rFonts w:hint="eastAsia"/>
                <w:sz w:val="24"/>
                <w:szCs w:val="22"/>
              </w:rPr>
              <w:t>★</w:t>
            </w:r>
            <w:r>
              <w:rPr>
                <w:rFonts w:hint="eastAsia" w:hAnsi="宋体"/>
                <w:color w:val="000000"/>
                <w:sz w:val="24"/>
              </w:rPr>
              <w:t>1</w:t>
            </w:r>
            <w:r>
              <w:rPr>
                <w:rFonts w:hint="eastAsia"/>
                <w:sz w:val="24"/>
                <w:szCs w:val="22"/>
              </w:rPr>
              <w:t>、</w:t>
            </w:r>
            <w:r>
              <w:rPr>
                <w:rFonts w:hint="eastAsia" w:hAnsi="宋体"/>
                <w:color w:val="000000"/>
                <w:sz w:val="24"/>
              </w:rPr>
              <w:t>化学成分：采用6063T5材质铝合金制造，化学成分符合国家标准；</w:t>
            </w:r>
          </w:p>
          <w:p>
            <w:pPr>
              <w:pStyle w:val="41"/>
              <w:spacing w:line="360" w:lineRule="auto"/>
              <w:ind w:firstLine="0" w:firstLineChars="0"/>
              <w:rPr>
                <w:rFonts w:hAnsi="宋体"/>
                <w:color w:val="000000"/>
                <w:sz w:val="24"/>
              </w:rPr>
            </w:pPr>
            <w:r>
              <w:rPr>
                <w:rFonts w:hint="eastAsia" w:hAnsi="宋体"/>
                <w:color w:val="000000"/>
                <w:sz w:val="24"/>
              </w:rPr>
              <w:t>2</w:t>
            </w:r>
            <w:r>
              <w:rPr>
                <w:rFonts w:hint="eastAsia"/>
                <w:sz w:val="24"/>
                <w:szCs w:val="22"/>
              </w:rPr>
              <w:t>、</w:t>
            </w:r>
            <w:r>
              <w:rPr>
                <w:rFonts w:hint="eastAsia" w:hAnsi="宋体"/>
                <w:color w:val="000000"/>
                <w:sz w:val="24"/>
              </w:rPr>
              <w:t>外观：表面涂层呈米黄色，无皱纹、流痕、鼓泡、裂纹、发粘等影响使用的缺陷；</w:t>
            </w:r>
          </w:p>
          <w:p>
            <w:pPr>
              <w:pStyle w:val="41"/>
              <w:spacing w:line="360" w:lineRule="auto"/>
              <w:ind w:firstLine="0" w:firstLineChars="0"/>
              <w:rPr>
                <w:rFonts w:hAnsi="宋体"/>
                <w:color w:val="000000"/>
                <w:sz w:val="24"/>
              </w:rPr>
            </w:pPr>
            <w:r>
              <w:rPr>
                <w:rFonts w:hint="eastAsia" w:hAnsi="宋体"/>
                <w:color w:val="000000"/>
                <w:sz w:val="24"/>
              </w:rPr>
              <w:t>3</w:t>
            </w:r>
            <w:r>
              <w:rPr>
                <w:rFonts w:hint="eastAsia"/>
                <w:sz w:val="24"/>
                <w:szCs w:val="22"/>
              </w:rPr>
              <w:t>、</w:t>
            </w:r>
            <w:r>
              <w:rPr>
                <w:rFonts w:hint="eastAsia" w:hAnsi="宋体"/>
                <w:color w:val="000000"/>
                <w:sz w:val="24"/>
              </w:rPr>
              <w:t>漆膜厚度≥40ｕm；</w:t>
            </w:r>
          </w:p>
          <w:p>
            <w:pPr>
              <w:pStyle w:val="41"/>
              <w:spacing w:line="360" w:lineRule="auto"/>
              <w:ind w:firstLine="0" w:firstLineChars="0"/>
              <w:rPr>
                <w:rFonts w:hAnsi="宋体"/>
                <w:color w:val="000000"/>
                <w:sz w:val="24"/>
              </w:rPr>
            </w:pPr>
            <w:r>
              <w:rPr>
                <w:rFonts w:hint="eastAsia" w:hAnsi="宋体"/>
                <w:color w:val="000000"/>
                <w:sz w:val="24"/>
              </w:rPr>
              <w:t>4</w:t>
            </w:r>
            <w:r>
              <w:rPr>
                <w:rFonts w:hint="eastAsia"/>
                <w:sz w:val="24"/>
                <w:szCs w:val="22"/>
              </w:rPr>
              <w:t>、</w:t>
            </w:r>
            <w:r>
              <w:rPr>
                <w:rFonts w:hint="eastAsia" w:hAnsi="宋体"/>
                <w:color w:val="000000"/>
                <w:sz w:val="24"/>
              </w:rPr>
              <w:t>尺寸：高47mm±0.5mm；宽45mm±0.5mm；壁厚1.0mm±0.1mm。</w:t>
            </w:r>
          </w:p>
          <w:p>
            <w:pPr>
              <w:pStyle w:val="41"/>
              <w:spacing w:line="360" w:lineRule="auto"/>
              <w:ind w:firstLine="0" w:firstLineChars="0"/>
              <w:rPr>
                <w:rFonts w:hAnsi="宋体"/>
                <w:b/>
                <w:bCs/>
                <w:color w:val="000000"/>
                <w:sz w:val="24"/>
              </w:rPr>
            </w:pPr>
            <w:r>
              <w:rPr>
                <w:rFonts w:hint="eastAsia" w:hAnsi="宋体"/>
                <w:b/>
                <w:bCs/>
                <w:color w:val="000000"/>
                <w:sz w:val="24"/>
              </w:rPr>
              <w:t>铝合金下杆：</w:t>
            </w:r>
          </w:p>
          <w:p>
            <w:pPr>
              <w:pStyle w:val="41"/>
              <w:spacing w:line="360" w:lineRule="auto"/>
              <w:ind w:firstLine="0" w:firstLineChars="0"/>
              <w:rPr>
                <w:rFonts w:hAnsi="宋体"/>
                <w:color w:val="000000"/>
                <w:sz w:val="24"/>
              </w:rPr>
            </w:pPr>
            <w:r>
              <w:rPr>
                <w:rFonts w:hint="eastAsia" w:hAnsi="宋体"/>
                <w:color w:val="000000"/>
                <w:sz w:val="24"/>
              </w:rPr>
              <w:t>1</w:t>
            </w:r>
            <w:r>
              <w:rPr>
                <w:rFonts w:hint="eastAsia"/>
                <w:sz w:val="24"/>
                <w:szCs w:val="22"/>
              </w:rPr>
              <w:t>、</w:t>
            </w:r>
            <w:r>
              <w:rPr>
                <w:rFonts w:hint="eastAsia" w:hAnsi="宋体"/>
                <w:color w:val="000000"/>
                <w:sz w:val="24"/>
              </w:rPr>
              <w:t>尺寸：宽37.5mm±0.5mm；高9.5mm±0.5mm；</w:t>
            </w:r>
          </w:p>
          <w:p>
            <w:pPr>
              <w:pStyle w:val="41"/>
              <w:spacing w:line="360" w:lineRule="auto"/>
              <w:ind w:firstLine="0" w:firstLineChars="0"/>
              <w:rPr>
                <w:rFonts w:hAnsi="宋体"/>
                <w:color w:val="000000"/>
                <w:sz w:val="24"/>
              </w:rPr>
            </w:pPr>
            <w:r>
              <w:rPr>
                <w:rFonts w:hint="eastAsia" w:hAnsi="宋体"/>
                <w:color w:val="000000"/>
                <w:sz w:val="24"/>
              </w:rPr>
              <w:t>2</w:t>
            </w:r>
            <w:r>
              <w:rPr>
                <w:rFonts w:hint="eastAsia"/>
                <w:sz w:val="24"/>
                <w:szCs w:val="22"/>
              </w:rPr>
              <w:t>、</w:t>
            </w:r>
            <w:r>
              <w:rPr>
                <w:rFonts w:hint="eastAsia" w:hAnsi="宋体"/>
                <w:color w:val="000000"/>
                <w:sz w:val="24"/>
              </w:rPr>
              <w:t>外观：下杆外露面为弧形，PVC封头与下杆弧形面配合紧密。</w:t>
            </w:r>
          </w:p>
          <w:p>
            <w:pPr>
              <w:pStyle w:val="41"/>
              <w:spacing w:line="360" w:lineRule="auto"/>
              <w:ind w:firstLine="0" w:firstLineChars="0"/>
              <w:rPr>
                <w:rFonts w:hAnsi="宋体"/>
                <w:b/>
                <w:bCs/>
                <w:color w:val="000000"/>
                <w:sz w:val="24"/>
              </w:rPr>
            </w:pPr>
            <w:r>
              <w:rPr>
                <w:rFonts w:hint="eastAsia" w:hAnsi="宋体"/>
                <w:b/>
                <w:bCs/>
                <w:color w:val="000000"/>
                <w:sz w:val="24"/>
              </w:rPr>
              <w:t>叶 片：</w:t>
            </w:r>
          </w:p>
          <w:p>
            <w:pPr>
              <w:pStyle w:val="41"/>
              <w:spacing w:line="360" w:lineRule="auto"/>
              <w:ind w:firstLine="0" w:firstLineChars="0"/>
              <w:rPr>
                <w:rFonts w:hAnsi="宋体"/>
                <w:color w:val="000000"/>
                <w:sz w:val="24"/>
              </w:rPr>
            </w:pPr>
            <w:r>
              <w:rPr>
                <w:rFonts w:hint="eastAsia" w:hAnsi="宋体"/>
                <w:color w:val="000000"/>
                <w:sz w:val="24"/>
              </w:rPr>
              <w:t>1</w:t>
            </w:r>
            <w:r>
              <w:rPr>
                <w:rFonts w:hint="eastAsia"/>
                <w:sz w:val="24"/>
                <w:szCs w:val="22"/>
              </w:rPr>
              <w:t>、</w:t>
            </w:r>
            <w:r>
              <w:rPr>
                <w:rFonts w:hint="eastAsia" w:hAnsi="宋体"/>
                <w:color w:val="000000"/>
                <w:sz w:val="24"/>
              </w:rPr>
              <w:t>叶片尺寸：边宽34.5mm±0.5mm；壁厚0.2mm±0.05mm；</w:t>
            </w:r>
          </w:p>
          <w:p>
            <w:pPr>
              <w:pStyle w:val="41"/>
              <w:spacing w:line="360" w:lineRule="auto"/>
              <w:ind w:firstLine="0" w:firstLineChars="0"/>
              <w:rPr>
                <w:rFonts w:hAnsi="宋体"/>
                <w:color w:val="000000"/>
                <w:sz w:val="24"/>
              </w:rPr>
            </w:pPr>
            <w:r>
              <w:rPr>
                <w:rFonts w:hint="eastAsia" w:hAnsi="宋体"/>
                <w:color w:val="000000"/>
                <w:sz w:val="24"/>
              </w:rPr>
              <w:t>2</w:t>
            </w:r>
            <w:r>
              <w:rPr>
                <w:rFonts w:hint="eastAsia"/>
                <w:sz w:val="24"/>
                <w:szCs w:val="22"/>
              </w:rPr>
              <w:t>、</w:t>
            </w:r>
            <w:r>
              <w:rPr>
                <w:rFonts w:hint="eastAsia" w:hAnsi="宋体"/>
                <w:color w:val="000000"/>
                <w:sz w:val="24"/>
              </w:rPr>
              <w:t>外观：表面涂层呈米黄色，叶片呈弧形，无皱纹、流痕、鼓泡、裂纹、发粘等影响使用的缺陷。</w:t>
            </w:r>
          </w:p>
          <w:p>
            <w:pPr>
              <w:pStyle w:val="41"/>
              <w:spacing w:line="360" w:lineRule="auto"/>
              <w:ind w:firstLine="0" w:firstLineChars="0"/>
              <w:rPr>
                <w:rFonts w:hAnsi="宋体"/>
                <w:b/>
                <w:bCs/>
                <w:color w:val="000000"/>
                <w:sz w:val="24"/>
              </w:rPr>
            </w:pPr>
            <w:r>
              <w:rPr>
                <w:rFonts w:hint="eastAsia" w:hAnsi="宋体"/>
                <w:b/>
                <w:bCs/>
                <w:color w:val="000000"/>
                <w:sz w:val="24"/>
              </w:rPr>
              <w:t>方形制头：</w:t>
            </w:r>
          </w:p>
          <w:p>
            <w:pPr>
              <w:pStyle w:val="41"/>
              <w:spacing w:line="360" w:lineRule="auto"/>
              <w:ind w:firstLine="0" w:firstLineChars="0"/>
              <w:rPr>
                <w:rFonts w:hAnsi="宋体"/>
                <w:color w:val="000000"/>
                <w:sz w:val="24"/>
              </w:rPr>
            </w:pPr>
            <w:r>
              <w:rPr>
                <w:rFonts w:hint="eastAsia" w:hAnsi="宋体"/>
                <w:color w:val="000000"/>
                <w:sz w:val="24"/>
              </w:rPr>
              <w:t>1</w:t>
            </w:r>
            <w:r>
              <w:rPr>
                <w:rFonts w:hint="eastAsia"/>
                <w:sz w:val="24"/>
                <w:szCs w:val="22"/>
              </w:rPr>
              <w:t>、</w:t>
            </w:r>
            <w:r>
              <w:rPr>
                <w:rFonts w:hint="eastAsia" w:hAnsi="宋体"/>
                <w:color w:val="000000"/>
                <w:sz w:val="24"/>
              </w:rPr>
              <w:t>尺寸：高49mm±0.5mm；宽48mm±0.5mm；</w:t>
            </w:r>
          </w:p>
          <w:p>
            <w:pPr>
              <w:pStyle w:val="41"/>
              <w:spacing w:line="360" w:lineRule="auto"/>
              <w:ind w:firstLine="0" w:firstLineChars="0"/>
              <w:rPr>
                <w:rFonts w:hint="eastAsia" w:hAnsi="宋体"/>
                <w:color w:val="000000"/>
                <w:sz w:val="24"/>
              </w:rPr>
            </w:pPr>
            <w:r>
              <w:rPr>
                <w:rFonts w:hint="eastAsia" w:hAnsi="宋体"/>
                <w:color w:val="000000"/>
                <w:sz w:val="24"/>
              </w:rPr>
              <w:t>2</w:t>
            </w:r>
            <w:r>
              <w:rPr>
                <w:rFonts w:hint="eastAsia"/>
                <w:sz w:val="24"/>
                <w:szCs w:val="22"/>
              </w:rPr>
              <w:t>、</w:t>
            </w:r>
            <w:r>
              <w:rPr>
                <w:rFonts w:hint="eastAsia" w:hAnsi="宋体"/>
                <w:color w:val="000000"/>
                <w:sz w:val="24"/>
              </w:rPr>
              <w:t>结构:塑料拉珠表面光滑，珠距均匀，循环拉动滚动顺畅无卡阻，尼龙拉线无弹性跳动。</w:t>
            </w:r>
          </w:p>
        </w:tc>
        <w:tc>
          <w:tcPr>
            <w:tcW w:w="1381" w:type="dxa"/>
            <w:noWrap w:val="0"/>
            <w:tcMar>
              <w:top w:w="57" w:type="dxa"/>
              <w:left w:w="57" w:type="dxa"/>
              <w:bottom w:w="0" w:type="dxa"/>
              <w:right w:w="57" w:type="dxa"/>
            </w:tcMar>
            <w:vAlign w:val="center"/>
          </w:tcPr>
          <w:p>
            <w:pPr>
              <w:wordWrap w:val="0"/>
              <w:spacing w:line="360" w:lineRule="auto"/>
              <w:jc w:val="center"/>
            </w:pPr>
            <w:r>
              <w:rPr>
                <w:rFonts w:hint="eastAsia"/>
              </w:rPr>
              <w:t>106.16m</w:t>
            </w:r>
            <w:r>
              <w:rPr>
                <w:rFonts w:hint="eastAsia"/>
                <w:vertAlign w:val="superscript"/>
              </w:rPr>
              <w:t>2</w:t>
            </w:r>
          </w:p>
        </w:tc>
        <w:tc>
          <w:tcPr>
            <w:tcW w:w="1772" w:type="dxa"/>
            <w:noWrap w:val="0"/>
            <w:tcMar>
              <w:top w:w="57" w:type="dxa"/>
              <w:left w:w="57" w:type="dxa"/>
              <w:bottom w:w="0" w:type="dxa"/>
              <w:right w:w="57" w:type="dxa"/>
            </w:tcMar>
            <w:vAlign w:val="center"/>
          </w:tcPr>
          <w:p>
            <w:pPr>
              <w:wordWrap w:val="0"/>
              <w:spacing w:line="360" w:lineRule="auto"/>
              <w:jc w:val="center"/>
            </w:pPr>
            <w:r>
              <w:drawing>
                <wp:inline distT="0" distB="0" distL="114300" distR="114300">
                  <wp:extent cx="1068070" cy="2737485"/>
                  <wp:effectExtent l="0" t="0" r="1778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1068070" cy="273748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9" w:hRule="atLeast"/>
          <w:jc w:val="center"/>
        </w:trPr>
        <w:tc>
          <w:tcPr>
            <w:tcW w:w="1332" w:type="dxa"/>
            <w:noWrap w:val="0"/>
            <w:tcMar>
              <w:top w:w="57" w:type="dxa"/>
              <w:left w:w="57" w:type="dxa"/>
              <w:bottom w:w="0" w:type="dxa"/>
              <w:right w:w="57" w:type="dxa"/>
            </w:tcMar>
            <w:vAlign w:val="center"/>
          </w:tcPr>
          <w:p>
            <w:pPr>
              <w:spacing w:line="360" w:lineRule="auto"/>
              <w:ind w:left="0" w:leftChars="0" w:firstLine="0" w:firstLineChars="0"/>
              <w:jc w:val="both"/>
              <w:rPr>
                <w:rFonts w:hint="eastAsia"/>
                <w:b/>
                <w:bCs/>
                <w:sz w:val="24"/>
                <w:szCs w:val="22"/>
              </w:rPr>
            </w:pPr>
            <w:r>
              <w:rPr>
                <w:rFonts w:hint="eastAsia"/>
                <w:b/>
                <w:bCs/>
                <w:sz w:val="24"/>
                <w:szCs w:val="22"/>
              </w:rPr>
              <w:t>办公室外窗卷轴式窗帘</w:t>
            </w:r>
          </w:p>
        </w:tc>
        <w:tc>
          <w:tcPr>
            <w:tcW w:w="6298" w:type="dxa"/>
            <w:noWrap w:val="0"/>
            <w:tcMar>
              <w:top w:w="57" w:type="dxa"/>
              <w:left w:w="57" w:type="dxa"/>
              <w:bottom w:w="0" w:type="dxa"/>
              <w:right w:w="57" w:type="dxa"/>
            </w:tcMar>
            <w:vAlign w:val="top"/>
          </w:tcPr>
          <w:p>
            <w:pPr>
              <w:pStyle w:val="41"/>
              <w:spacing w:line="360" w:lineRule="auto"/>
              <w:ind w:firstLine="0" w:firstLineChars="0"/>
              <w:rPr>
                <w:rFonts w:hint="eastAsia" w:hAnsi="宋体"/>
                <w:b/>
                <w:bCs/>
                <w:color w:val="000000"/>
                <w:sz w:val="24"/>
              </w:rPr>
            </w:pPr>
            <w:r>
              <w:rPr>
                <w:rFonts w:hint="eastAsia" w:hAnsi="宋体"/>
                <w:b/>
                <w:bCs/>
                <w:color w:val="000000"/>
                <w:sz w:val="24"/>
              </w:rPr>
              <w:t>一、卷帘面料要求</w:t>
            </w:r>
          </w:p>
          <w:p>
            <w:pPr>
              <w:pStyle w:val="41"/>
              <w:spacing w:line="360" w:lineRule="auto"/>
              <w:ind w:firstLine="0" w:firstLineChars="0"/>
              <w:rPr>
                <w:rFonts w:hint="eastAsia" w:hAnsi="宋体"/>
                <w:color w:val="000000"/>
                <w:sz w:val="24"/>
              </w:rPr>
            </w:pPr>
            <w:r>
              <w:rPr>
                <w:rFonts w:hint="eastAsia" w:hAnsi="宋体"/>
                <w:color w:val="000000"/>
                <w:sz w:val="24"/>
              </w:rPr>
              <w:t>★1、成份：100%聚酯纤维；</w:t>
            </w:r>
          </w:p>
          <w:p>
            <w:pPr>
              <w:pStyle w:val="41"/>
              <w:spacing w:line="360" w:lineRule="auto"/>
              <w:ind w:firstLine="0" w:firstLineChars="0"/>
              <w:rPr>
                <w:rFonts w:hint="eastAsia" w:hAnsi="宋体"/>
                <w:color w:val="000000"/>
                <w:sz w:val="24"/>
              </w:rPr>
            </w:pPr>
            <w:r>
              <w:rPr>
                <w:rFonts w:hint="eastAsia" w:hAnsi="宋体"/>
                <w:color w:val="000000"/>
                <w:sz w:val="24"/>
              </w:rPr>
              <w:t>★2、克重：≥400g/㎡；</w:t>
            </w:r>
          </w:p>
          <w:p>
            <w:pPr>
              <w:pStyle w:val="41"/>
              <w:spacing w:line="360" w:lineRule="auto"/>
              <w:ind w:firstLine="0" w:firstLineChars="0"/>
              <w:rPr>
                <w:rFonts w:hint="eastAsia" w:hAnsi="宋体"/>
                <w:color w:val="000000"/>
                <w:sz w:val="24"/>
              </w:rPr>
            </w:pPr>
            <w:r>
              <w:rPr>
                <w:rFonts w:hint="eastAsia" w:hAnsi="宋体"/>
                <w:color w:val="000000"/>
                <w:sz w:val="24"/>
              </w:rPr>
              <w:t>3、帘布厚度≥0.6mm；</w:t>
            </w:r>
          </w:p>
          <w:p>
            <w:pPr>
              <w:pStyle w:val="41"/>
              <w:spacing w:line="360" w:lineRule="auto"/>
              <w:ind w:firstLine="0" w:firstLineChars="0"/>
              <w:rPr>
                <w:rFonts w:hint="eastAsia" w:hAnsi="宋体"/>
                <w:color w:val="000000"/>
                <w:sz w:val="24"/>
              </w:rPr>
            </w:pPr>
            <w:r>
              <w:rPr>
                <w:rFonts w:hint="eastAsia" w:hAnsi="宋体"/>
                <w:color w:val="000000"/>
                <w:sz w:val="24"/>
              </w:rPr>
              <w:t>★4、开孔率：≤3%；</w:t>
            </w:r>
          </w:p>
          <w:p>
            <w:pPr>
              <w:pStyle w:val="41"/>
              <w:spacing w:line="360" w:lineRule="auto"/>
              <w:ind w:firstLine="0" w:firstLineChars="0"/>
              <w:rPr>
                <w:rFonts w:hint="eastAsia" w:hAnsi="宋体"/>
                <w:color w:val="000000"/>
                <w:sz w:val="24"/>
              </w:rPr>
            </w:pPr>
            <w:r>
              <w:rPr>
                <w:rFonts w:hint="eastAsia" w:hAnsi="宋体"/>
                <w:color w:val="000000"/>
                <w:sz w:val="24"/>
              </w:rPr>
              <w:t>5、耐皂洗色牢度（级）：≥4级；</w:t>
            </w:r>
          </w:p>
          <w:p>
            <w:pPr>
              <w:pStyle w:val="41"/>
              <w:spacing w:line="360" w:lineRule="auto"/>
              <w:ind w:firstLine="0" w:firstLineChars="0"/>
              <w:rPr>
                <w:rFonts w:hint="eastAsia" w:hAnsi="宋体"/>
                <w:color w:val="000000"/>
                <w:sz w:val="24"/>
              </w:rPr>
            </w:pPr>
            <w:r>
              <w:rPr>
                <w:rFonts w:hint="eastAsia" w:hAnsi="宋体"/>
                <w:color w:val="000000"/>
                <w:sz w:val="24"/>
              </w:rPr>
              <w:t>★6、耐水洗色牢度：≥5级；</w:t>
            </w:r>
          </w:p>
          <w:p>
            <w:pPr>
              <w:pStyle w:val="41"/>
              <w:spacing w:line="360" w:lineRule="auto"/>
              <w:ind w:firstLine="0" w:firstLineChars="0"/>
              <w:rPr>
                <w:rFonts w:hint="eastAsia" w:hAnsi="宋体"/>
                <w:color w:val="000000"/>
                <w:sz w:val="24"/>
              </w:rPr>
            </w:pPr>
            <w:r>
              <w:rPr>
                <w:rFonts w:hint="eastAsia" w:hAnsi="宋体"/>
                <w:color w:val="000000"/>
                <w:sz w:val="24"/>
              </w:rPr>
              <w:t>7、耐干洗色牢度：≥4级；</w:t>
            </w:r>
          </w:p>
          <w:p>
            <w:pPr>
              <w:pStyle w:val="41"/>
              <w:spacing w:line="360" w:lineRule="auto"/>
              <w:ind w:firstLine="0" w:firstLineChars="0"/>
              <w:rPr>
                <w:rFonts w:hint="eastAsia" w:hAnsi="宋体"/>
                <w:color w:val="000000"/>
                <w:sz w:val="24"/>
              </w:rPr>
            </w:pPr>
            <w:r>
              <w:rPr>
                <w:rFonts w:hint="eastAsia" w:hAnsi="宋体"/>
                <w:color w:val="000000"/>
                <w:sz w:val="24"/>
              </w:rPr>
              <w:t>8、耐酸汗渍色牢：≥4级；</w:t>
            </w:r>
          </w:p>
          <w:p>
            <w:pPr>
              <w:pStyle w:val="41"/>
              <w:spacing w:line="360" w:lineRule="auto"/>
              <w:ind w:firstLine="0" w:firstLineChars="0"/>
              <w:rPr>
                <w:rFonts w:hint="eastAsia" w:hAnsi="宋体"/>
                <w:color w:val="000000"/>
                <w:sz w:val="24"/>
              </w:rPr>
            </w:pPr>
            <w:r>
              <w:rPr>
                <w:rFonts w:hint="eastAsia" w:hAnsi="宋体"/>
                <w:color w:val="000000"/>
                <w:sz w:val="24"/>
              </w:rPr>
              <w:t>9、耐碱汗渍色牢度：≥4级；</w:t>
            </w:r>
          </w:p>
          <w:p>
            <w:pPr>
              <w:pStyle w:val="41"/>
              <w:spacing w:line="360" w:lineRule="auto"/>
              <w:ind w:firstLine="0" w:firstLineChars="0"/>
              <w:rPr>
                <w:rFonts w:hint="eastAsia" w:hAnsi="宋体"/>
                <w:color w:val="000000"/>
                <w:sz w:val="24"/>
              </w:rPr>
            </w:pPr>
            <w:r>
              <w:rPr>
                <w:rFonts w:hint="eastAsia" w:hAnsi="宋体"/>
                <w:color w:val="000000"/>
                <w:sz w:val="24"/>
              </w:rPr>
              <w:t>10、耐干摩擦色牢度：≥4级；</w:t>
            </w:r>
          </w:p>
          <w:p>
            <w:pPr>
              <w:pStyle w:val="41"/>
              <w:spacing w:line="360" w:lineRule="auto"/>
              <w:ind w:firstLine="0" w:firstLineChars="0"/>
              <w:rPr>
                <w:rFonts w:hint="eastAsia" w:hAnsi="宋体"/>
                <w:color w:val="000000"/>
                <w:sz w:val="24"/>
              </w:rPr>
            </w:pPr>
            <w:r>
              <w:rPr>
                <w:rFonts w:hint="eastAsia" w:hAnsi="宋体"/>
                <w:color w:val="000000"/>
                <w:sz w:val="24"/>
              </w:rPr>
              <w:t>11、耐湿摩擦色牢度：≥4级；</w:t>
            </w:r>
          </w:p>
          <w:p>
            <w:pPr>
              <w:pStyle w:val="41"/>
              <w:spacing w:line="360" w:lineRule="auto"/>
              <w:ind w:firstLine="0" w:firstLineChars="0"/>
              <w:rPr>
                <w:rFonts w:hint="eastAsia" w:hAnsi="宋体"/>
                <w:color w:val="000000"/>
                <w:sz w:val="24"/>
              </w:rPr>
            </w:pPr>
            <w:r>
              <w:rPr>
                <w:rFonts w:hint="eastAsia" w:hAnsi="宋体"/>
                <w:color w:val="000000"/>
                <w:sz w:val="24"/>
              </w:rPr>
              <w:t>12、耐热压色牢度：≥4级；</w:t>
            </w:r>
          </w:p>
          <w:p>
            <w:pPr>
              <w:pStyle w:val="41"/>
              <w:spacing w:line="360" w:lineRule="auto"/>
              <w:ind w:firstLine="0" w:firstLineChars="0"/>
              <w:rPr>
                <w:rFonts w:hint="eastAsia" w:hAnsi="宋体"/>
                <w:color w:val="000000"/>
                <w:sz w:val="24"/>
              </w:rPr>
            </w:pPr>
            <w:r>
              <w:rPr>
                <w:rFonts w:hint="eastAsia" w:hAnsi="宋体"/>
                <w:color w:val="000000"/>
                <w:sz w:val="24"/>
              </w:rPr>
              <w:t>13、PH值:4.0-9.0；</w:t>
            </w:r>
          </w:p>
          <w:p>
            <w:pPr>
              <w:pStyle w:val="41"/>
              <w:spacing w:line="360" w:lineRule="auto"/>
              <w:ind w:firstLine="0" w:firstLineChars="0"/>
              <w:rPr>
                <w:rFonts w:hint="eastAsia" w:hAnsi="宋体"/>
                <w:color w:val="000000"/>
                <w:sz w:val="24"/>
              </w:rPr>
            </w:pPr>
            <w:r>
              <w:rPr>
                <w:rFonts w:hint="eastAsia" w:hAnsi="宋体"/>
                <w:color w:val="000000"/>
                <w:sz w:val="24"/>
              </w:rPr>
              <w:t>14、抗起球：≥4级；</w:t>
            </w:r>
          </w:p>
          <w:p>
            <w:pPr>
              <w:pStyle w:val="41"/>
              <w:spacing w:line="360" w:lineRule="auto"/>
              <w:ind w:firstLine="0" w:firstLineChars="0"/>
              <w:rPr>
                <w:rFonts w:hint="eastAsia" w:hAnsi="宋体"/>
                <w:color w:val="000000"/>
                <w:sz w:val="24"/>
              </w:rPr>
            </w:pPr>
            <w:r>
              <w:rPr>
                <w:rFonts w:hint="eastAsia" w:hAnsi="宋体"/>
                <w:color w:val="000000"/>
                <w:sz w:val="24"/>
              </w:rPr>
              <w:t>★15、耐光色牢度：≥5级；</w:t>
            </w:r>
          </w:p>
          <w:p>
            <w:pPr>
              <w:pStyle w:val="41"/>
              <w:spacing w:line="360" w:lineRule="auto"/>
              <w:ind w:firstLine="0" w:firstLineChars="0"/>
              <w:rPr>
                <w:rFonts w:hint="eastAsia" w:hAnsi="宋体"/>
                <w:color w:val="000000"/>
                <w:sz w:val="24"/>
              </w:rPr>
            </w:pPr>
            <w:r>
              <w:rPr>
                <w:rFonts w:hint="eastAsia" w:hAnsi="宋体"/>
                <w:color w:val="000000"/>
                <w:sz w:val="24"/>
              </w:rPr>
              <w:t>16、水洗尺寸变化率：经向-1%~+1.0%，纬向-1%~+1.0%；</w:t>
            </w:r>
          </w:p>
          <w:p>
            <w:pPr>
              <w:pStyle w:val="41"/>
              <w:spacing w:line="360" w:lineRule="auto"/>
              <w:ind w:firstLine="0" w:firstLineChars="0"/>
              <w:rPr>
                <w:rFonts w:hint="eastAsia" w:hAnsi="宋体"/>
                <w:color w:val="000000"/>
                <w:sz w:val="24"/>
              </w:rPr>
            </w:pPr>
            <w:r>
              <w:rPr>
                <w:rFonts w:hint="eastAsia" w:hAnsi="宋体"/>
                <w:color w:val="000000"/>
                <w:sz w:val="24"/>
              </w:rPr>
              <w:t>17、断裂强力：经向≥2200N，纬向≥1600N；</w:t>
            </w:r>
          </w:p>
          <w:p>
            <w:pPr>
              <w:pStyle w:val="41"/>
              <w:spacing w:line="360" w:lineRule="auto"/>
              <w:ind w:firstLine="0" w:firstLineChars="0"/>
              <w:rPr>
                <w:rFonts w:hint="eastAsia" w:hAnsi="宋体"/>
                <w:color w:val="000000"/>
                <w:sz w:val="24"/>
              </w:rPr>
            </w:pPr>
            <w:r>
              <w:rPr>
                <w:rFonts w:hint="eastAsia" w:hAnsi="宋体"/>
                <w:color w:val="000000"/>
                <w:sz w:val="24"/>
              </w:rPr>
              <w:t>18、撕破强力：经向≥75N，纬向≥75N；</w:t>
            </w:r>
          </w:p>
          <w:p>
            <w:pPr>
              <w:pStyle w:val="41"/>
              <w:spacing w:line="360" w:lineRule="auto"/>
              <w:ind w:firstLine="0" w:firstLineChars="0"/>
              <w:rPr>
                <w:rFonts w:hint="eastAsia" w:hAnsi="宋体"/>
                <w:color w:val="000000"/>
                <w:sz w:val="24"/>
              </w:rPr>
            </w:pPr>
            <w:r>
              <w:rPr>
                <w:rFonts w:hint="eastAsia" w:hAnsi="宋体"/>
                <w:color w:val="000000"/>
                <w:sz w:val="24"/>
              </w:rPr>
              <w:t>★19、甲醛含量：≤300mg/kg；</w:t>
            </w:r>
          </w:p>
          <w:p>
            <w:pPr>
              <w:pStyle w:val="41"/>
              <w:spacing w:line="360" w:lineRule="auto"/>
              <w:ind w:firstLine="0" w:firstLineChars="0"/>
              <w:rPr>
                <w:rFonts w:hint="eastAsia" w:hAnsi="宋体"/>
                <w:color w:val="000000"/>
                <w:sz w:val="24"/>
              </w:rPr>
            </w:pPr>
            <w:r>
              <w:rPr>
                <w:rFonts w:hint="eastAsia" w:hAnsi="宋体"/>
                <w:color w:val="000000"/>
                <w:sz w:val="24"/>
              </w:rPr>
              <w:t>20、无禁用的可分解芳香胺染料；</w:t>
            </w:r>
          </w:p>
          <w:p>
            <w:pPr>
              <w:pStyle w:val="41"/>
              <w:spacing w:line="360" w:lineRule="auto"/>
              <w:ind w:firstLine="0" w:firstLineChars="0"/>
              <w:rPr>
                <w:rFonts w:hint="eastAsia" w:hAnsi="宋体"/>
                <w:color w:val="000000"/>
                <w:sz w:val="24"/>
              </w:rPr>
            </w:pPr>
            <w:r>
              <w:rPr>
                <w:rFonts w:hint="eastAsia" w:hAnsi="宋体"/>
                <w:color w:val="000000"/>
                <w:sz w:val="24"/>
              </w:rPr>
              <w:t>21、异味：无；</w:t>
            </w:r>
          </w:p>
          <w:p>
            <w:pPr>
              <w:pStyle w:val="41"/>
              <w:spacing w:line="360" w:lineRule="auto"/>
              <w:ind w:firstLine="0" w:firstLineChars="0"/>
              <w:rPr>
                <w:rFonts w:hint="eastAsia" w:hAnsi="宋体"/>
                <w:color w:val="000000"/>
                <w:sz w:val="24"/>
              </w:rPr>
            </w:pPr>
            <w:r>
              <w:rPr>
                <w:rFonts w:hint="eastAsia" w:hAnsi="宋体"/>
                <w:color w:val="000000"/>
                <w:sz w:val="24"/>
              </w:rPr>
              <w:t>22、卷帘阻燃要求</w:t>
            </w:r>
          </w:p>
          <w:p>
            <w:pPr>
              <w:pStyle w:val="41"/>
              <w:spacing w:line="360" w:lineRule="auto"/>
              <w:ind w:firstLine="0" w:firstLineChars="0"/>
              <w:rPr>
                <w:rFonts w:hint="eastAsia" w:hAnsi="宋体"/>
                <w:color w:val="000000"/>
                <w:sz w:val="24"/>
              </w:rPr>
            </w:pPr>
            <w:r>
              <w:rPr>
                <w:rFonts w:hint="eastAsia" w:hAnsi="宋体"/>
                <w:color w:val="000000"/>
                <w:sz w:val="24"/>
              </w:rPr>
              <w:t>氧指数：≥32；</w:t>
            </w:r>
          </w:p>
          <w:p>
            <w:pPr>
              <w:pStyle w:val="41"/>
              <w:spacing w:line="360" w:lineRule="auto"/>
              <w:ind w:firstLine="0" w:firstLineChars="0"/>
              <w:rPr>
                <w:rFonts w:hint="eastAsia" w:hAnsi="宋体"/>
                <w:color w:val="000000"/>
                <w:sz w:val="24"/>
              </w:rPr>
            </w:pPr>
            <w:r>
              <w:rPr>
                <w:rFonts w:hint="eastAsia" w:hAnsi="宋体"/>
                <w:color w:val="000000"/>
                <w:sz w:val="24"/>
              </w:rPr>
              <w:t>垂直燃烧性能：</w:t>
            </w:r>
          </w:p>
          <w:p>
            <w:pPr>
              <w:pStyle w:val="41"/>
              <w:spacing w:line="360" w:lineRule="auto"/>
              <w:ind w:firstLine="0" w:firstLineChars="0"/>
              <w:rPr>
                <w:rFonts w:hint="eastAsia" w:hAnsi="宋体"/>
                <w:color w:val="000000"/>
                <w:sz w:val="24"/>
              </w:rPr>
            </w:pPr>
            <w:r>
              <w:rPr>
                <w:rFonts w:hint="eastAsia" w:hAnsi="宋体"/>
                <w:color w:val="000000"/>
                <w:sz w:val="24"/>
              </w:rPr>
              <w:t>续燃时间：经纬向（warp）≤5；</w:t>
            </w:r>
          </w:p>
          <w:p>
            <w:pPr>
              <w:pStyle w:val="41"/>
              <w:spacing w:line="360" w:lineRule="auto"/>
              <w:ind w:firstLine="0" w:firstLineChars="0"/>
              <w:rPr>
                <w:rFonts w:hint="eastAsia" w:hAnsi="宋体"/>
                <w:color w:val="000000"/>
                <w:sz w:val="24"/>
              </w:rPr>
            </w:pPr>
            <w:r>
              <w:rPr>
                <w:rFonts w:hint="eastAsia" w:hAnsi="宋体"/>
                <w:color w:val="000000"/>
                <w:sz w:val="24"/>
              </w:rPr>
              <w:t>阴燃时间：经纬向（warp）≤5；</w:t>
            </w:r>
          </w:p>
          <w:p>
            <w:pPr>
              <w:pStyle w:val="41"/>
              <w:spacing w:line="360" w:lineRule="auto"/>
              <w:ind w:firstLine="0" w:firstLineChars="0"/>
              <w:rPr>
                <w:rFonts w:hint="eastAsia" w:hAnsi="宋体"/>
                <w:color w:val="000000"/>
                <w:sz w:val="24"/>
              </w:rPr>
            </w:pPr>
            <w:r>
              <w:rPr>
                <w:rFonts w:hint="eastAsia" w:hAnsi="宋体"/>
                <w:color w:val="000000"/>
                <w:sz w:val="24"/>
              </w:rPr>
              <w:t>损毁程度：经纬向（warp）≤150；</w:t>
            </w:r>
          </w:p>
          <w:p>
            <w:pPr>
              <w:pStyle w:val="41"/>
              <w:spacing w:line="360" w:lineRule="auto"/>
              <w:ind w:firstLine="0" w:firstLineChars="0"/>
              <w:rPr>
                <w:rFonts w:hint="eastAsia" w:hAnsi="宋体"/>
                <w:color w:val="000000"/>
                <w:sz w:val="24"/>
              </w:rPr>
            </w:pPr>
            <w:r>
              <w:rPr>
                <w:rFonts w:hint="eastAsia" w:hAnsi="宋体"/>
                <w:color w:val="000000"/>
                <w:sz w:val="24"/>
              </w:rPr>
              <w:t>燃烧滴落物：未引起脱脂棉燃烧或阴燃；</w:t>
            </w:r>
          </w:p>
          <w:p>
            <w:pPr>
              <w:pStyle w:val="41"/>
              <w:spacing w:line="360" w:lineRule="auto"/>
              <w:ind w:firstLine="0" w:firstLineChars="0"/>
              <w:rPr>
                <w:rFonts w:hint="eastAsia" w:hAnsi="宋体"/>
                <w:color w:val="000000"/>
                <w:sz w:val="24"/>
              </w:rPr>
            </w:pPr>
            <w:r>
              <w:rPr>
                <w:rFonts w:hint="eastAsia" w:hAnsi="宋体"/>
                <w:color w:val="000000"/>
                <w:sz w:val="24"/>
              </w:rPr>
              <w:t>烟密度等级：≤15；</w:t>
            </w:r>
          </w:p>
          <w:p>
            <w:pPr>
              <w:pStyle w:val="41"/>
              <w:spacing w:line="360" w:lineRule="auto"/>
              <w:ind w:firstLine="0" w:firstLineChars="0"/>
              <w:rPr>
                <w:rFonts w:hint="eastAsia" w:hAnsi="宋体"/>
                <w:color w:val="000000"/>
                <w:sz w:val="24"/>
              </w:rPr>
            </w:pPr>
            <w:r>
              <w:rPr>
                <w:rFonts w:hint="eastAsia" w:hAnsi="宋体"/>
                <w:color w:val="000000"/>
                <w:sz w:val="24"/>
              </w:rPr>
              <w:t>产烟毒性等级：不低于ZA2；</w:t>
            </w:r>
          </w:p>
          <w:p>
            <w:pPr>
              <w:pStyle w:val="41"/>
              <w:ind w:firstLine="0" w:firstLineChars="0"/>
              <w:rPr>
                <w:rFonts w:hint="eastAsia" w:hAnsi="宋体"/>
                <w:color w:val="000000"/>
                <w:sz w:val="21"/>
                <w:szCs w:val="21"/>
              </w:rPr>
            </w:pPr>
          </w:p>
          <w:p>
            <w:pPr>
              <w:pStyle w:val="41"/>
              <w:spacing w:line="360" w:lineRule="auto"/>
              <w:ind w:firstLine="0" w:firstLineChars="0"/>
              <w:rPr>
                <w:rFonts w:hint="eastAsia"/>
                <w:b/>
                <w:bCs/>
                <w:sz w:val="24"/>
                <w:szCs w:val="22"/>
              </w:rPr>
            </w:pPr>
            <w:r>
              <w:rPr>
                <w:rFonts w:hint="eastAsia"/>
                <w:b/>
                <w:bCs/>
                <w:sz w:val="24"/>
                <w:szCs w:val="22"/>
              </w:rPr>
              <w:t>二、拉珠卷帘升降装置系统：</w:t>
            </w:r>
          </w:p>
          <w:p>
            <w:pPr>
              <w:pStyle w:val="41"/>
              <w:spacing w:line="360" w:lineRule="auto"/>
              <w:ind w:firstLine="0" w:firstLineChars="0"/>
              <w:rPr>
                <w:rFonts w:hint="eastAsia" w:hAnsi="宋体"/>
                <w:color w:val="000000"/>
                <w:sz w:val="24"/>
              </w:rPr>
            </w:pPr>
            <w:r>
              <w:rPr>
                <w:rFonts w:hint="eastAsia" w:hAnsi="宋体"/>
                <w:color w:val="000000"/>
                <w:sz w:val="24"/>
              </w:rPr>
              <w:t>1、拉珠制头：采用流线设计，可顶装、侧装，外形美观。</w:t>
            </w:r>
          </w:p>
          <w:p>
            <w:pPr>
              <w:pStyle w:val="41"/>
              <w:spacing w:line="360" w:lineRule="auto"/>
              <w:ind w:firstLine="0" w:firstLineChars="0"/>
              <w:rPr>
                <w:rFonts w:hint="eastAsia" w:hAnsi="宋体"/>
                <w:color w:val="000000"/>
                <w:sz w:val="24"/>
              </w:rPr>
            </w:pPr>
            <w:r>
              <w:rPr>
                <w:rFonts w:hint="eastAsia" w:hAnsi="宋体"/>
                <w:color w:val="000000"/>
                <w:sz w:val="24"/>
              </w:rPr>
              <w:t>2、内置减速装置，减速比1：1.7，省力20%；机构运动更平稳；</w:t>
            </w:r>
          </w:p>
          <w:p>
            <w:pPr>
              <w:pStyle w:val="41"/>
              <w:spacing w:line="360" w:lineRule="auto"/>
              <w:ind w:firstLine="0" w:firstLineChars="0"/>
              <w:rPr>
                <w:rFonts w:hint="eastAsia" w:hAnsi="宋体"/>
                <w:color w:val="000000"/>
                <w:sz w:val="24"/>
              </w:rPr>
            </w:pPr>
            <w:r>
              <w:rPr>
                <w:rFonts w:hint="eastAsia" w:hAnsi="宋体"/>
                <w:color w:val="000000"/>
                <w:sz w:val="24"/>
              </w:rPr>
              <w:t>优质琴钢丝弹簧，保证制头寿命长和操作顺畅；</w:t>
            </w:r>
          </w:p>
          <w:p>
            <w:pPr>
              <w:pStyle w:val="41"/>
              <w:spacing w:line="360" w:lineRule="auto"/>
              <w:ind w:firstLine="0" w:firstLineChars="0"/>
              <w:rPr>
                <w:rFonts w:hint="eastAsia" w:hAnsi="宋体"/>
                <w:color w:val="000000"/>
                <w:sz w:val="24"/>
              </w:rPr>
            </w:pPr>
            <w:r>
              <w:drawing>
                <wp:anchor distT="0" distB="0" distL="114300" distR="114300" simplePos="0" relativeHeight="251660288" behindDoc="0" locked="0" layoutInCell="1" allowOverlap="1">
                  <wp:simplePos x="0" y="0"/>
                  <wp:positionH relativeFrom="column">
                    <wp:posOffset>4867275</wp:posOffset>
                  </wp:positionH>
                  <wp:positionV relativeFrom="paragraph">
                    <wp:posOffset>324485</wp:posOffset>
                  </wp:positionV>
                  <wp:extent cx="1076960" cy="1283335"/>
                  <wp:effectExtent l="0" t="0" r="8890" b="1206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1076960" cy="1283335"/>
                          </a:xfrm>
                          <a:prstGeom prst="rect">
                            <a:avLst/>
                          </a:prstGeom>
                          <a:noFill/>
                          <a:ln>
                            <a:noFill/>
                          </a:ln>
                        </pic:spPr>
                      </pic:pic>
                    </a:graphicData>
                  </a:graphic>
                </wp:anchor>
              </w:drawing>
            </w:r>
            <w:r>
              <w:rPr>
                <w:rFonts w:hint="eastAsia" w:hAnsi="宋体"/>
                <w:color w:val="000000"/>
                <w:sz w:val="24"/>
              </w:rPr>
              <w:t>制尾采用齿轮拨动压缩弹簧控制制尾芯轴伸缩距离，便于安装；</w:t>
            </w:r>
          </w:p>
          <w:p>
            <w:pPr>
              <w:pStyle w:val="41"/>
              <w:spacing w:line="360" w:lineRule="auto"/>
              <w:ind w:firstLine="0" w:firstLineChars="0"/>
              <w:rPr>
                <w:rFonts w:hint="eastAsia" w:hAnsi="宋体"/>
                <w:color w:val="000000"/>
                <w:sz w:val="24"/>
              </w:rPr>
            </w:pPr>
            <w:r>
              <w:rPr>
                <w:rFonts w:hint="eastAsia" w:hAnsi="宋体"/>
                <w:color w:val="000000"/>
                <w:sz w:val="24"/>
              </w:rPr>
              <w:t>拉珠与制头摩擦处采用特殊的结构，使结构工作时噪音小，拉珠颜色要求与帘布颜色同色；</w:t>
            </w:r>
          </w:p>
          <w:p>
            <w:pPr>
              <w:pStyle w:val="41"/>
              <w:spacing w:line="360" w:lineRule="auto"/>
              <w:ind w:firstLine="0" w:firstLineChars="0"/>
              <w:rPr>
                <w:rFonts w:hint="eastAsia" w:hAnsi="宋体"/>
                <w:color w:val="000000"/>
                <w:sz w:val="24"/>
              </w:rPr>
            </w:pPr>
            <w:r>
              <w:rPr>
                <w:rFonts w:hint="eastAsia" w:hAnsi="宋体"/>
                <w:color w:val="000000"/>
                <w:sz w:val="24"/>
              </w:rPr>
              <w:t>采用优质耐用玻璃加固聚酯的聚合物（PBT）材质，耐磨、耐腐蚀；</w:t>
            </w:r>
          </w:p>
          <w:p>
            <w:pPr>
              <w:pStyle w:val="41"/>
              <w:spacing w:line="360" w:lineRule="auto"/>
              <w:ind w:firstLine="0" w:firstLineChars="0"/>
              <w:rPr>
                <w:rFonts w:hint="eastAsia" w:hAnsi="宋体"/>
                <w:color w:val="000000"/>
                <w:sz w:val="24"/>
              </w:rPr>
            </w:pPr>
            <w:r>
              <w:rPr>
                <w:rFonts w:hint="eastAsia" w:hAnsi="宋体"/>
                <w:color w:val="000000"/>
                <w:sz w:val="24"/>
              </w:rPr>
              <w:t>安装码采用2.0毫米的08F冷轧钢板，保证成品足够的强度和超大的承载力；</w:t>
            </w:r>
          </w:p>
          <w:p>
            <w:pPr>
              <w:pStyle w:val="41"/>
              <w:spacing w:line="360" w:lineRule="auto"/>
              <w:ind w:firstLine="0" w:firstLineChars="0"/>
              <w:rPr>
                <w:rFonts w:hint="eastAsia" w:hAnsi="宋体"/>
                <w:color w:val="000000"/>
                <w:sz w:val="24"/>
              </w:rPr>
            </w:pPr>
            <w:r>
              <w:rPr>
                <w:rFonts w:hint="eastAsia" w:hAnsi="宋体"/>
                <w:color w:val="000000"/>
                <w:sz w:val="24"/>
              </w:rPr>
              <w:t>采用φ4.8*6的豪华拉珠，在操作时手感良好；承重28KG；</w:t>
            </w:r>
          </w:p>
          <w:p>
            <w:pPr>
              <w:pStyle w:val="41"/>
              <w:spacing w:line="360" w:lineRule="auto"/>
              <w:ind w:firstLine="0" w:firstLineChars="0"/>
              <w:rPr>
                <w:rFonts w:hint="eastAsia" w:hAnsi="宋体"/>
                <w:color w:val="000000"/>
                <w:sz w:val="24"/>
              </w:rPr>
            </w:pPr>
            <w:r>
              <w:rPr>
                <w:rFonts w:hint="eastAsia" w:hAnsi="宋体"/>
                <w:color w:val="000000"/>
                <w:sz w:val="24"/>
              </w:rPr>
              <w:t>适用于16平方米以下窗帘，使用寿命≥12000次。</w:t>
            </w:r>
          </w:p>
          <w:p>
            <w:pPr>
              <w:pStyle w:val="41"/>
              <w:spacing w:line="360" w:lineRule="auto"/>
              <w:ind w:firstLine="0" w:firstLineChars="0"/>
              <w:rPr>
                <w:rFonts w:hint="eastAsia"/>
                <w:b/>
                <w:bCs/>
                <w:sz w:val="24"/>
                <w:szCs w:val="22"/>
              </w:rPr>
            </w:pPr>
            <w:r>
              <w:drawing>
                <wp:anchor distT="0" distB="0" distL="114300" distR="114300" simplePos="0" relativeHeight="251661312" behindDoc="0" locked="0" layoutInCell="1" allowOverlap="1">
                  <wp:simplePos x="0" y="0"/>
                  <wp:positionH relativeFrom="column">
                    <wp:posOffset>4857750</wp:posOffset>
                  </wp:positionH>
                  <wp:positionV relativeFrom="paragraph">
                    <wp:posOffset>52070</wp:posOffset>
                  </wp:positionV>
                  <wp:extent cx="1093470" cy="1520190"/>
                  <wp:effectExtent l="0" t="0" r="11430" b="381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9"/>
                          <a:srcRect b="9367"/>
                          <a:stretch>
                            <a:fillRect/>
                          </a:stretch>
                        </pic:blipFill>
                        <pic:spPr>
                          <a:xfrm>
                            <a:off x="0" y="0"/>
                            <a:ext cx="1093470" cy="1520190"/>
                          </a:xfrm>
                          <a:prstGeom prst="rect">
                            <a:avLst/>
                          </a:prstGeom>
                          <a:noFill/>
                          <a:ln>
                            <a:noFill/>
                          </a:ln>
                        </pic:spPr>
                      </pic:pic>
                    </a:graphicData>
                  </a:graphic>
                </wp:anchor>
              </w:drawing>
            </w:r>
            <w:r>
              <w:rPr>
                <w:rFonts w:hint="eastAsia"/>
                <w:b/>
                <w:bCs/>
                <w:sz w:val="24"/>
                <w:szCs w:val="22"/>
              </w:rPr>
              <w:t>三、上梁卷管：</w:t>
            </w:r>
          </w:p>
          <w:p>
            <w:pPr>
              <w:pStyle w:val="41"/>
              <w:spacing w:line="360" w:lineRule="auto"/>
              <w:ind w:firstLine="0" w:firstLineChars="0"/>
              <w:rPr>
                <w:rFonts w:hint="eastAsia" w:hAnsi="宋体"/>
                <w:color w:val="000000"/>
                <w:sz w:val="24"/>
              </w:rPr>
            </w:pPr>
            <w:r>
              <w:rPr>
                <w:rFonts w:hint="eastAsia" w:hAnsi="宋体"/>
                <w:color w:val="000000"/>
                <w:sz w:val="24"/>
              </w:rPr>
              <w:t>★1、材质：铝合金；</w:t>
            </w:r>
          </w:p>
          <w:p>
            <w:pPr>
              <w:pStyle w:val="41"/>
              <w:spacing w:line="360" w:lineRule="auto"/>
              <w:ind w:firstLine="0" w:firstLineChars="0"/>
              <w:rPr>
                <w:rFonts w:hint="eastAsia" w:hAnsi="宋体"/>
                <w:color w:val="000000"/>
                <w:sz w:val="24"/>
              </w:rPr>
            </w:pPr>
            <w:r>
              <w:rPr>
                <w:rFonts w:hint="eastAsia" w:hAnsi="宋体"/>
                <w:color w:val="000000"/>
                <w:sz w:val="24"/>
              </w:rPr>
              <w:t>★2、直径：≥φ38mm；</w:t>
            </w:r>
          </w:p>
          <w:p>
            <w:pPr>
              <w:pStyle w:val="41"/>
              <w:spacing w:line="360" w:lineRule="auto"/>
              <w:ind w:firstLine="0" w:firstLineChars="0"/>
              <w:rPr>
                <w:rFonts w:hint="eastAsia" w:hAnsi="宋体"/>
                <w:color w:val="000000"/>
                <w:sz w:val="24"/>
              </w:rPr>
            </w:pPr>
            <w:r>
              <w:rPr>
                <w:rFonts w:hint="eastAsia" w:hAnsi="宋体"/>
                <w:color w:val="000000"/>
                <w:sz w:val="24"/>
              </w:rPr>
              <w:t>★3、卷管壁厚：≥1.9mm；</w:t>
            </w:r>
          </w:p>
          <w:p>
            <w:pPr>
              <w:pStyle w:val="41"/>
              <w:spacing w:line="360" w:lineRule="auto"/>
              <w:ind w:firstLine="0" w:firstLineChars="0"/>
              <w:rPr>
                <w:rFonts w:hint="eastAsia" w:hAnsi="宋体"/>
                <w:color w:val="000000"/>
                <w:sz w:val="24"/>
              </w:rPr>
            </w:pPr>
            <w:r>
              <w:rPr>
                <w:rFonts w:hint="eastAsia" w:hAnsi="宋体"/>
                <w:color w:val="000000"/>
                <w:sz w:val="24"/>
              </w:rPr>
              <w:t>4、表面处理：电泳处理。</w:t>
            </w:r>
          </w:p>
          <w:p>
            <w:pPr>
              <w:pStyle w:val="41"/>
              <w:spacing w:line="360" w:lineRule="auto"/>
              <w:ind w:firstLine="0" w:firstLineChars="0"/>
              <w:rPr>
                <w:rFonts w:hint="eastAsia"/>
                <w:b/>
                <w:bCs/>
                <w:sz w:val="24"/>
                <w:szCs w:val="22"/>
              </w:rPr>
            </w:pPr>
            <w:r>
              <w:drawing>
                <wp:anchor distT="0" distB="0" distL="114300" distR="114300" simplePos="0" relativeHeight="251662336" behindDoc="0" locked="0" layoutInCell="1" allowOverlap="1">
                  <wp:simplePos x="0" y="0"/>
                  <wp:positionH relativeFrom="column">
                    <wp:posOffset>4867275</wp:posOffset>
                  </wp:positionH>
                  <wp:positionV relativeFrom="paragraph">
                    <wp:posOffset>71120</wp:posOffset>
                  </wp:positionV>
                  <wp:extent cx="1074420" cy="1393825"/>
                  <wp:effectExtent l="0" t="0" r="11430" b="1587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rcRect b="11842"/>
                          <a:stretch>
                            <a:fillRect/>
                          </a:stretch>
                        </pic:blipFill>
                        <pic:spPr>
                          <a:xfrm>
                            <a:off x="0" y="0"/>
                            <a:ext cx="1074420" cy="1393825"/>
                          </a:xfrm>
                          <a:prstGeom prst="rect">
                            <a:avLst/>
                          </a:prstGeom>
                          <a:noFill/>
                          <a:ln>
                            <a:noFill/>
                          </a:ln>
                        </pic:spPr>
                      </pic:pic>
                    </a:graphicData>
                  </a:graphic>
                </wp:anchor>
              </w:drawing>
            </w:r>
            <w:r>
              <w:rPr>
                <w:rFonts w:hint="eastAsia"/>
                <w:b/>
                <w:bCs/>
                <w:sz w:val="24"/>
                <w:szCs w:val="22"/>
              </w:rPr>
              <w:t>四、底槽杆：</w:t>
            </w:r>
          </w:p>
          <w:p>
            <w:pPr>
              <w:pStyle w:val="41"/>
              <w:spacing w:line="360" w:lineRule="auto"/>
              <w:ind w:firstLine="0" w:firstLineChars="0"/>
              <w:rPr>
                <w:rFonts w:hint="eastAsia" w:hAnsi="宋体"/>
                <w:color w:val="000000"/>
                <w:sz w:val="24"/>
              </w:rPr>
            </w:pPr>
            <w:r>
              <w:rPr>
                <w:rFonts w:hint="eastAsia" w:hAnsi="宋体"/>
                <w:color w:val="000000"/>
                <w:sz w:val="24"/>
              </w:rPr>
              <w:t>★1、材质：铝合金；</w:t>
            </w:r>
          </w:p>
          <w:p>
            <w:pPr>
              <w:pStyle w:val="41"/>
              <w:spacing w:line="360" w:lineRule="auto"/>
              <w:ind w:firstLine="0" w:firstLineChars="0"/>
              <w:rPr>
                <w:rFonts w:hint="eastAsia" w:hAnsi="宋体"/>
                <w:color w:val="000000"/>
                <w:sz w:val="24"/>
              </w:rPr>
            </w:pPr>
            <w:r>
              <w:rPr>
                <w:rFonts w:hint="eastAsia" w:hAnsi="宋体"/>
                <w:color w:val="000000"/>
                <w:sz w:val="24"/>
              </w:rPr>
              <w:t>2、尺寸：≥35mm×18mm；</w:t>
            </w:r>
          </w:p>
          <w:p>
            <w:pPr>
              <w:pStyle w:val="41"/>
              <w:spacing w:line="360" w:lineRule="auto"/>
              <w:ind w:firstLine="0" w:firstLineChars="0"/>
              <w:rPr>
                <w:rFonts w:hint="eastAsia" w:hAnsi="宋体"/>
                <w:color w:val="000000"/>
                <w:sz w:val="24"/>
              </w:rPr>
            </w:pPr>
            <w:r>
              <w:rPr>
                <w:rFonts w:hint="eastAsia" w:hAnsi="宋体"/>
                <w:color w:val="000000"/>
                <w:sz w:val="24"/>
              </w:rPr>
              <w:t>★3、底槽杆壁厚：≥1.8 mm；</w:t>
            </w:r>
          </w:p>
          <w:p>
            <w:pPr>
              <w:pStyle w:val="41"/>
              <w:spacing w:line="360" w:lineRule="auto"/>
              <w:ind w:firstLine="0" w:firstLineChars="0"/>
              <w:rPr>
                <w:rFonts w:hint="eastAsia" w:hAnsi="宋体"/>
                <w:color w:val="000000"/>
                <w:sz w:val="24"/>
              </w:rPr>
            </w:pPr>
            <w:r>
              <w:rPr>
                <w:rFonts w:hint="eastAsia" w:hAnsi="宋体"/>
                <w:color w:val="000000"/>
                <w:sz w:val="24"/>
              </w:rPr>
              <w:t>4、表面处理：烤漆。</w:t>
            </w:r>
          </w:p>
        </w:tc>
        <w:tc>
          <w:tcPr>
            <w:tcW w:w="1381" w:type="dxa"/>
            <w:noWrap w:val="0"/>
            <w:tcMar>
              <w:top w:w="57" w:type="dxa"/>
              <w:left w:w="57" w:type="dxa"/>
              <w:bottom w:w="0" w:type="dxa"/>
              <w:right w:w="57" w:type="dxa"/>
            </w:tcMar>
            <w:vAlign w:val="center"/>
          </w:tcPr>
          <w:p>
            <w:pPr>
              <w:wordWrap w:val="0"/>
              <w:spacing w:line="360" w:lineRule="auto"/>
              <w:jc w:val="center"/>
              <w:rPr>
                <w:rFonts w:hint="eastAsia"/>
              </w:rPr>
            </w:pPr>
            <w:r>
              <w:rPr>
                <w:rFonts w:hint="eastAsia"/>
              </w:rPr>
              <w:t>460.80 m</w:t>
            </w:r>
            <w:r>
              <w:rPr>
                <w:rFonts w:hint="eastAsia"/>
                <w:vertAlign w:val="superscript"/>
              </w:rPr>
              <w:t>2</w:t>
            </w:r>
          </w:p>
        </w:tc>
        <w:tc>
          <w:tcPr>
            <w:tcW w:w="1772" w:type="dxa"/>
            <w:noWrap w:val="0"/>
            <w:tcMar>
              <w:top w:w="57" w:type="dxa"/>
              <w:left w:w="57" w:type="dxa"/>
              <w:bottom w:w="0" w:type="dxa"/>
              <w:right w:w="57" w:type="dxa"/>
            </w:tcMar>
            <w:vAlign w:val="center"/>
          </w:tcPr>
          <w:p>
            <w:pPr>
              <w:wordWrap w:val="0"/>
              <w:spacing w:line="360" w:lineRule="auto"/>
              <w:jc w:val="center"/>
            </w:pPr>
            <w:r>
              <w:drawing>
                <wp:inline distT="0" distB="0" distL="114300" distR="114300">
                  <wp:extent cx="1034415" cy="2802890"/>
                  <wp:effectExtent l="0" t="0" r="13335" b="165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1"/>
                          <a:stretch>
                            <a:fillRect/>
                          </a:stretch>
                        </pic:blipFill>
                        <pic:spPr>
                          <a:xfrm>
                            <a:off x="0" y="0"/>
                            <a:ext cx="1034415" cy="2802890"/>
                          </a:xfrm>
                          <a:prstGeom prst="rect">
                            <a:avLst/>
                          </a:prstGeom>
                          <a:noFill/>
                          <a:ln>
                            <a:noFill/>
                          </a:ln>
                        </pic:spPr>
                      </pic:pic>
                    </a:graphicData>
                  </a:graphic>
                </wp:inline>
              </w:drawing>
            </w:r>
          </w:p>
        </w:tc>
      </w:tr>
    </w:tbl>
    <w:p>
      <w:pPr>
        <w:pStyle w:val="2"/>
        <w:rPr>
          <w:rFonts w:hint="eastAsia"/>
          <w:sz w:val="30"/>
          <w:szCs w:val="30"/>
        </w:rPr>
      </w:pPr>
      <w:r>
        <w:rPr>
          <w:rFonts w:hint="eastAsia"/>
          <w:sz w:val="30"/>
          <w:szCs w:val="30"/>
        </w:rPr>
        <w:t>3、制作工艺要求</w:t>
      </w:r>
    </w:p>
    <w:p>
      <w:pPr>
        <w:ind w:firstLine="480" w:firstLineChars="200"/>
      </w:pPr>
      <w:r>
        <w:rPr>
          <w:rFonts w:hint="eastAsia"/>
        </w:rPr>
        <w:t>1）</w:t>
      </w:r>
      <w:r>
        <w:t>布艺窗帘制作样式为：韩式，布帘侧包边宽度3cm，底边包边宽度12cm，成品高度误差不超过0.5cm，宽度不能小于要求制作的宽度，不能超过要求宽度15cm以上，成品无线头无污迹。布帘熨烫衬的时候要保持丝縷平直，不起泡，无线头杂物。</w:t>
      </w:r>
    </w:p>
    <w:p>
      <w:pPr>
        <w:ind w:firstLine="480" w:firstLineChars="200"/>
      </w:pPr>
      <w:r>
        <w:rPr>
          <w:rFonts w:hint="eastAsia"/>
        </w:rPr>
        <w:t>2）</w:t>
      </w:r>
      <w:r>
        <w:t>每米成品布艺窗帘制作8个标准褶皱。缝制针距均匀牢固表面平整每10cm不少于35针。</w:t>
      </w:r>
    </w:p>
    <w:p>
      <w:pPr>
        <w:ind w:firstLine="480" w:firstLineChars="200"/>
        <w:rPr>
          <w:rFonts w:hint="eastAsia"/>
        </w:rPr>
      </w:pPr>
      <w:r>
        <w:rPr>
          <w:rFonts w:hint="eastAsia"/>
        </w:rPr>
        <w:t>3）布艺窗帘褶皱比例为：帘轨长比帘布宽=1：2.5，每米成品帘布制作8个标准褶皱。（2.5倍褶皱）</w:t>
      </w:r>
    </w:p>
    <w:p>
      <w:pPr>
        <w:ind w:firstLine="480" w:firstLineChars="200"/>
      </w:pPr>
      <w:r>
        <w:rPr>
          <w:rFonts w:hint="eastAsia"/>
        </w:rPr>
        <w:t>4）</w:t>
      </w:r>
      <w:r>
        <w:t>衬布宽度：</w:t>
      </w:r>
      <w:r>
        <w:rPr>
          <w:rFonts w:hint="eastAsia"/>
        </w:rPr>
        <w:t>≥</w:t>
      </w:r>
      <w:r>
        <w:t>10cm，100%聚酯纤维，编织均匀，牢固表面平整。挂钩为S型，采用低碳钢材质，表面镀锌处理。</w:t>
      </w:r>
    </w:p>
    <w:p>
      <w:pPr>
        <w:ind w:firstLine="480" w:firstLineChars="200"/>
        <w:rPr>
          <w:rFonts w:hint="eastAsia"/>
        </w:rPr>
      </w:pPr>
      <w:r>
        <w:rPr>
          <w:rFonts w:hint="eastAsia"/>
        </w:rPr>
        <w:t>5）布艺窗帘所安装的窗帘轨道，每米窗帘轨安装二个上墙或上顶的安装码。</w:t>
      </w:r>
    </w:p>
    <w:p>
      <w:pPr>
        <w:ind w:firstLine="480" w:firstLineChars="200"/>
      </w:pPr>
      <w:r>
        <w:rPr>
          <w:rFonts w:hint="eastAsia"/>
        </w:rPr>
        <w:t>6）</w:t>
      </w:r>
      <w:r>
        <w:t>轨道系统</w:t>
      </w:r>
      <w:r>
        <w:rPr>
          <w:rFonts w:hint="eastAsia"/>
        </w:rPr>
        <w:t>：</w:t>
      </w:r>
      <w:r>
        <w:t>内带肋起加强筋，轨道承重力强，滑轮牢固美观不易脱掉，封头具有密封性强，能承受超强的撞击力保证轨道运行不变形，表面经电泳处理，保证轨道不退色。</w:t>
      </w:r>
    </w:p>
    <w:p>
      <w:pPr>
        <w:ind w:firstLine="480" w:firstLineChars="200"/>
        <w:rPr>
          <w:rFonts w:hint="eastAsia"/>
        </w:rPr>
      </w:pPr>
      <w:r>
        <w:rPr>
          <w:rFonts w:hint="eastAsia"/>
        </w:rPr>
        <w:t>7）铝百叶帘：1.2m长帘片扭曲度不超过3mm，2m长帘片侧弯不超过3mm；百叶固定框料（边框料）壁厚1.2mm，安装框料（工字框）壁厚1.0mm；窗体高度超过1．7米时，采用中腰设计；百叶窗的顶、底部均有相应的防水装置；发泡剂用闭孔聚氨酯发泡剂；密封胶：中性硅酮耐候密封防水胶</w:t>
      </w:r>
    </w:p>
    <w:p>
      <w:pPr>
        <w:ind w:firstLine="480" w:firstLineChars="200"/>
      </w:pPr>
      <w:r>
        <w:rPr>
          <w:rFonts w:hint="eastAsia"/>
        </w:rPr>
        <w:t>8）卷帘：织物面料的色泽、斑块或条纹应与建筑外观相协调，表面不得有破损、明显折痕、破条，不可清除的污垢、色差、毛边、荷叶边，拼接处不得发生裂缝、跳缝、脱线。条纹布料的条纹应对齐，其允许偏差不得大于3mm。</w:t>
      </w:r>
    </w:p>
    <w:p>
      <w:pPr>
        <w:ind w:firstLine="480" w:firstLineChars="200"/>
      </w:pPr>
      <w:r>
        <w:rPr>
          <w:rFonts w:hint="eastAsia"/>
          <w:lang w:val="en-US" w:eastAsia="zh-CN"/>
        </w:rPr>
        <w:t>9</w:t>
      </w:r>
      <w:r>
        <w:t>）</w:t>
      </w:r>
      <w:r>
        <w:rPr>
          <w:rFonts w:hint="eastAsia"/>
        </w:rPr>
        <w:t>卷帘</w:t>
      </w:r>
      <w:r>
        <w:t>的安装位置与室内操纵装置的穿墙管线，但不得影响建筑结构的强度，不得影响墙体保温性能，并具有良好的防水性能。 </w:t>
      </w:r>
    </w:p>
    <w:p>
      <w:pPr>
        <w:ind w:firstLine="480" w:firstLineChars="200"/>
      </w:pPr>
      <w:r>
        <w:rPr>
          <w:rFonts w:hint="eastAsia"/>
          <w:lang w:val="en-US" w:eastAsia="zh-CN"/>
        </w:rPr>
        <w:t>10</w:t>
      </w:r>
      <w:r>
        <w:t>）</w:t>
      </w:r>
      <w:r>
        <w:rPr>
          <w:rFonts w:hint="eastAsia"/>
        </w:rPr>
        <w:t>卷帘</w:t>
      </w:r>
      <w:r>
        <w:t>的外露构件应线条流畅、色泽协调，与外墙一体化设计、施工。 帘体分幅宜与窗户分格、墙面分块及装饰线条相协调。 </w:t>
      </w:r>
    </w:p>
    <w:p>
      <w:pPr>
        <w:ind w:firstLine="480" w:firstLineChars="200"/>
        <w:sectPr>
          <w:pgSz w:w="11906" w:h="16838"/>
          <w:pgMar w:top="1440" w:right="1800" w:bottom="1440" w:left="1800" w:header="567" w:footer="595" w:gutter="0"/>
          <w:cols w:space="720" w:num="1"/>
          <w:docGrid w:type="lines" w:linePitch="312" w:charSpace="0"/>
        </w:sectPr>
      </w:pPr>
      <w:r>
        <w:rPr>
          <w:rFonts w:hint="eastAsia"/>
          <w:lang w:val="en-US" w:eastAsia="zh-CN"/>
        </w:rPr>
        <w:t>11</w:t>
      </w:r>
      <w:r>
        <w:t>）</w:t>
      </w:r>
      <w:r>
        <w:rPr>
          <w:rFonts w:hint="eastAsia"/>
        </w:rPr>
        <w:t>卷帘</w:t>
      </w:r>
      <w:r>
        <w:t>承受最大设计风荷载时，其任何金属构件产生挠度后均不得触碰窗框或玻璃</w:t>
      </w:r>
      <w:r>
        <w:rPr>
          <w:rFonts w:hint="eastAsia"/>
        </w:rPr>
        <w:t>，</w:t>
      </w:r>
      <w:r>
        <w:t>不得影响窗户的周边锚固，并不得破坏保温层、防水层。</w:t>
      </w:r>
      <w:r>
        <w:rPr>
          <w:rFonts w:hint="eastAsia"/>
        </w:rPr>
        <w:t>卷帘</w:t>
      </w:r>
      <w:r>
        <w:t>的各种动作不应与窗户的启闭相互干涉。</w:t>
      </w:r>
    </w:p>
    <w:p>
      <w:pPr>
        <w:pStyle w:val="2"/>
        <w:spacing w:line="240" w:lineRule="auto"/>
        <w:rPr>
          <w:rFonts w:hint="eastAsia" w:ascii="宋体" w:hAnsi="宋体" w:eastAsia="宋体" w:cs="宋体"/>
          <w:sz w:val="30"/>
          <w:szCs w:val="30"/>
        </w:rPr>
      </w:pPr>
      <w:r>
        <w:rPr>
          <w:rFonts w:hint="eastAsia" w:ascii="宋体" w:hAnsi="宋体" w:eastAsia="宋体" w:cs="宋体"/>
          <w:sz w:val="30"/>
          <w:szCs w:val="30"/>
        </w:rPr>
        <w:t>4、商务要求</w:t>
      </w:r>
    </w:p>
    <w:p>
      <w:pPr>
        <w:ind w:firstLine="480" w:firstLineChars="200"/>
        <w:rPr>
          <w:rFonts w:hint="eastAsia"/>
        </w:rPr>
      </w:pPr>
      <w:r>
        <w:rPr>
          <w:rFonts w:hint="eastAsia"/>
        </w:rPr>
        <w:t>1）试验：</w:t>
      </w:r>
    </w:p>
    <w:p>
      <w:pPr>
        <w:ind w:firstLine="480" w:firstLineChars="200"/>
      </w:pPr>
      <w:r>
        <w:rPr>
          <w:rFonts w:hint="eastAsia"/>
        </w:rPr>
        <w:t>产品出厂前应进行工厂例行试验。</w:t>
      </w:r>
    </w:p>
    <w:p>
      <w:pPr>
        <w:ind w:firstLine="480" w:firstLineChars="200"/>
        <w:rPr>
          <w:rFonts w:hint="eastAsia"/>
        </w:rPr>
      </w:pPr>
      <w:r>
        <w:rPr>
          <w:rFonts w:hint="eastAsia"/>
        </w:rPr>
        <w:t>2）包装和运输：</w:t>
      </w:r>
    </w:p>
    <w:p>
      <w:pPr>
        <w:ind w:firstLine="480" w:firstLineChars="200"/>
        <w:rPr>
          <w:rFonts w:hint="eastAsia"/>
        </w:rPr>
      </w:pPr>
      <w:r>
        <w:rPr>
          <w:rFonts w:hint="eastAsia"/>
        </w:rPr>
        <w:t>产品制造完成并通过试验后应及时包装，否则应得到切实的保护，确保其不受污损。</w:t>
      </w:r>
    </w:p>
    <w:p>
      <w:pPr>
        <w:ind w:firstLine="480" w:firstLineChars="200"/>
        <w:rPr>
          <w:rFonts w:hint="eastAsia"/>
        </w:rPr>
      </w:pPr>
      <w:r>
        <w:rPr>
          <w:rFonts w:hint="eastAsia"/>
        </w:rPr>
        <w:t>3）保修和保养维护：</w:t>
      </w:r>
    </w:p>
    <w:p>
      <w:pPr>
        <w:ind w:firstLine="480" w:firstLineChars="200"/>
        <w:rPr>
          <w:rFonts w:hint="eastAsia"/>
        </w:rPr>
      </w:pPr>
      <w:r>
        <w:rPr>
          <w:rFonts w:hint="eastAsia"/>
        </w:rPr>
        <w:t>① 为了及时高效的服务于本次布帘采购项目，要求本次参选的商家在保证在接到业主维修保养窗帘电话后一小时内响应，</w:t>
      </w:r>
      <w:r>
        <w:rPr>
          <w:rFonts w:hint="eastAsia"/>
          <w:lang w:val="en-US" w:eastAsia="zh-CN"/>
        </w:rPr>
        <w:t>2</w:t>
      </w:r>
      <w:r>
        <w:rPr>
          <w:rFonts w:hint="eastAsia"/>
        </w:rPr>
        <w:t>小时内到达现场，</w:t>
      </w:r>
      <w:r>
        <w:rPr>
          <w:rFonts w:hint="eastAsia"/>
          <w:lang w:val="en-US" w:eastAsia="zh-CN"/>
        </w:rPr>
        <w:t>4</w:t>
      </w:r>
      <w:r>
        <w:rPr>
          <w:rFonts w:hint="eastAsia"/>
        </w:rPr>
        <w:t>小时内完成修复。不能修复的24小时内免费进行更换。</w:t>
      </w:r>
    </w:p>
    <w:p>
      <w:pPr>
        <w:ind w:firstLine="480" w:firstLineChars="200"/>
        <w:rPr>
          <w:rFonts w:hint="eastAsia"/>
        </w:rPr>
      </w:pPr>
      <w:r>
        <w:rPr>
          <w:rFonts w:hint="eastAsia"/>
        </w:rPr>
        <w:t>② 窗帘整体保修期为二年，具体为：本次采购制作和安装的窗帘实行验收合格交付使用后一年内无条件保修和包换，一年后至第二年内实行保修。</w:t>
      </w:r>
    </w:p>
    <w:p>
      <w:pPr>
        <w:ind w:firstLine="480" w:firstLineChars="200"/>
        <w:rPr>
          <w:rFonts w:hint="eastAsia"/>
        </w:rPr>
      </w:pPr>
      <w:r>
        <w:rPr>
          <w:rFonts w:hint="eastAsia"/>
        </w:rPr>
        <w:t>4）付款方式及提供发票类别：</w:t>
      </w:r>
    </w:p>
    <w:p>
      <w:pPr>
        <w:ind w:firstLine="480" w:firstLineChars="200"/>
        <w:rPr>
          <w:rFonts w:hint="eastAsia"/>
        </w:rPr>
      </w:pPr>
      <w:r>
        <w:rPr>
          <w:rFonts w:hint="eastAsia"/>
        </w:rPr>
        <w:t>① 预付款（40%）</w:t>
      </w:r>
    </w:p>
    <w:p>
      <w:pPr>
        <w:ind w:firstLine="480" w:firstLineChars="200"/>
        <w:rPr>
          <w:rFonts w:hint="eastAsia"/>
        </w:rPr>
      </w:pPr>
      <w:r>
        <w:rPr>
          <w:rFonts w:hint="eastAsia"/>
        </w:rPr>
        <w:t>② 货款：本次采购的窗帘按样品供货并安装调试好且验收合格后，15个工作日内支付完全部决算金额。</w:t>
      </w:r>
    </w:p>
    <w:p>
      <w:pPr>
        <w:ind w:firstLine="480" w:firstLineChars="200"/>
        <w:rPr>
          <w:rFonts w:hint="eastAsia"/>
        </w:rPr>
      </w:pPr>
      <w:r>
        <w:rPr>
          <w:rFonts w:hint="eastAsia"/>
        </w:rPr>
        <w:t>③ 供货厂商提供的销货发票为：</w:t>
      </w:r>
      <w:r>
        <w:rPr>
          <w:rFonts w:hint="eastAsia"/>
          <w:lang w:val="en-US" w:eastAsia="zh-CN"/>
        </w:rPr>
        <w:t>增值税专用</w:t>
      </w:r>
      <w:r>
        <w:rPr>
          <w:rFonts w:hint="eastAsia"/>
        </w:rPr>
        <w:t>发票。</w:t>
      </w:r>
    </w:p>
    <w:p>
      <w:pPr>
        <w:pStyle w:val="2"/>
        <w:rPr>
          <w:rFonts w:hint="eastAsia" w:ascii="宋体" w:hAnsi="宋体" w:eastAsia="宋体" w:cs="宋体"/>
          <w:sz w:val="30"/>
          <w:szCs w:val="30"/>
        </w:rPr>
      </w:pPr>
      <w:r>
        <w:rPr>
          <w:rFonts w:hint="eastAsia" w:ascii="宋体" w:hAnsi="宋体" w:eastAsia="宋体" w:cs="宋体"/>
          <w:sz w:val="30"/>
          <w:szCs w:val="30"/>
        </w:rPr>
        <w:t>5、参选厂商提供窗帘成品等实样：样品需密封</w:t>
      </w:r>
    </w:p>
    <w:p>
      <w:pPr>
        <w:pStyle w:val="2"/>
        <w:jc w:val="center"/>
        <w:rPr>
          <w:rFonts w:hint="eastAsia"/>
          <w:b w:val="0"/>
          <w:bCs/>
        </w:rPr>
      </w:pPr>
      <w:bookmarkStart w:id="126" w:name="_Hlk6493951"/>
      <w:r>
        <w:rPr>
          <w:rFonts w:hint="eastAsia"/>
          <w:b w:val="0"/>
          <w:bCs/>
        </w:rPr>
        <w:t>样品清单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198"/>
        <w:gridCol w:w="3590"/>
        <w:gridCol w:w="95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ind w:left="0" w:leftChars="0" w:firstLine="0" w:firstLineChars="0"/>
              <w:jc w:val="both"/>
              <w:rPr>
                <w:rFonts w:ascii="宋体" w:hAnsi="宋体"/>
                <w:sz w:val="24"/>
              </w:rPr>
            </w:pPr>
            <w:r>
              <w:rPr>
                <w:rFonts w:hint="eastAsia" w:ascii="宋体" w:hAnsi="宋体"/>
                <w:sz w:val="24"/>
              </w:rPr>
              <w:t>序号</w:t>
            </w:r>
          </w:p>
        </w:tc>
        <w:tc>
          <w:tcPr>
            <w:tcW w:w="2230" w:type="dxa"/>
            <w:noWrap w:val="0"/>
            <w:vAlign w:val="center"/>
          </w:tcPr>
          <w:p>
            <w:pPr>
              <w:jc w:val="center"/>
              <w:rPr>
                <w:rFonts w:ascii="宋体" w:hAnsi="宋体"/>
                <w:sz w:val="24"/>
              </w:rPr>
            </w:pPr>
            <w:r>
              <w:rPr>
                <w:rFonts w:hint="eastAsia" w:ascii="宋体" w:hAnsi="宋体"/>
                <w:sz w:val="24"/>
              </w:rPr>
              <w:t>样品名称</w:t>
            </w:r>
          </w:p>
        </w:tc>
        <w:tc>
          <w:tcPr>
            <w:tcW w:w="3625" w:type="dxa"/>
            <w:noWrap w:val="0"/>
            <w:vAlign w:val="center"/>
          </w:tcPr>
          <w:p>
            <w:pPr>
              <w:jc w:val="center"/>
              <w:rPr>
                <w:rFonts w:ascii="宋体" w:hAnsi="宋体"/>
                <w:sz w:val="24"/>
              </w:rPr>
            </w:pPr>
            <w:r>
              <w:rPr>
                <w:rFonts w:hint="eastAsia" w:ascii="宋体" w:hAnsi="宋体"/>
                <w:sz w:val="24"/>
              </w:rPr>
              <w:t>样品规格尺寸</w:t>
            </w:r>
          </w:p>
        </w:tc>
        <w:tc>
          <w:tcPr>
            <w:tcW w:w="968" w:type="dxa"/>
            <w:noWrap w:val="0"/>
            <w:vAlign w:val="center"/>
          </w:tcPr>
          <w:p>
            <w:pPr>
              <w:ind w:left="0" w:leftChars="0" w:firstLine="0" w:firstLineChars="0"/>
              <w:jc w:val="both"/>
              <w:rPr>
                <w:rFonts w:ascii="宋体" w:hAnsi="宋体"/>
                <w:sz w:val="24"/>
              </w:rPr>
            </w:pPr>
            <w:r>
              <w:rPr>
                <w:rFonts w:hint="eastAsia" w:ascii="宋体" w:hAnsi="宋体"/>
                <w:sz w:val="24"/>
              </w:rPr>
              <w:t>数量</w:t>
            </w:r>
          </w:p>
        </w:tc>
        <w:tc>
          <w:tcPr>
            <w:tcW w:w="968" w:type="dxa"/>
            <w:noWrap w:val="0"/>
            <w:vAlign w:val="center"/>
          </w:tcPr>
          <w:p>
            <w:pPr>
              <w:ind w:left="0" w:leftChars="0" w:firstLine="0" w:firstLineChars="0"/>
              <w:jc w:val="both"/>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jc w:val="center"/>
              <w:rPr>
                <w:rFonts w:ascii="宋体" w:hAnsi="宋体"/>
                <w:sz w:val="24"/>
              </w:rPr>
            </w:pPr>
            <w:r>
              <w:rPr>
                <w:rFonts w:hint="eastAsia" w:ascii="宋体" w:hAnsi="宋体"/>
                <w:sz w:val="24"/>
              </w:rPr>
              <w:t>1</w:t>
            </w:r>
          </w:p>
        </w:tc>
        <w:tc>
          <w:tcPr>
            <w:tcW w:w="2230" w:type="dxa"/>
            <w:noWrap w:val="0"/>
            <w:vAlign w:val="center"/>
          </w:tcPr>
          <w:p>
            <w:pPr>
              <w:jc w:val="center"/>
              <w:rPr>
                <w:rFonts w:ascii="宋体" w:hAnsi="宋体"/>
                <w:sz w:val="24"/>
              </w:rPr>
            </w:pPr>
            <w:r>
              <w:rPr>
                <w:rFonts w:hint="eastAsia" w:ascii="宋体" w:hAnsi="宋体"/>
                <w:sz w:val="24"/>
              </w:rPr>
              <w:t>布艺窗帘</w:t>
            </w:r>
          </w:p>
        </w:tc>
        <w:tc>
          <w:tcPr>
            <w:tcW w:w="3625" w:type="dxa"/>
            <w:noWrap w:val="0"/>
            <w:vAlign w:val="center"/>
          </w:tcPr>
          <w:p>
            <w:pPr>
              <w:jc w:val="center"/>
              <w:rPr>
                <w:rFonts w:ascii="宋体" w:hAnsi="宋体"/>
                <w:sz w:val="24"/>
              </w:rPr>
            </w:pPr>
            <w:r>
              <w:rPr>
                <w:rFonts w:hint="eastAsia" w:ascii="宋体" w:hAnsi="宋体"/>
                <w:sz w:val="24"/>
              </w:rPr>
              <w:t>成品：1000mm×1000mm</w:t>
            </w:r>
          </w:p>
        </w:tc>
        <w:tc>
          <w:tcPr>
            <w:tcW w:w="968" w:type="dxa"/>
            <w:noWrap w:val="0"/>
            <w:vAlign w:val="center"/>
          </w:tcPr>
          <w:p>
            <w:pPr>
              <w:ind w:left="0" w:leftChars="0" w:firstLine="0" w:firstLineChars="0"/>
              <w:jc w:val="both"/>
              <w:rPr>
                <w:rFonts w:ascii="宋体" w:hAnsi="宋体"/>
                <w:sz w:val="24"/>
              </w:rPr>
            </w:pPr>
            <w:r>
              <w:rPr>
                <w:rFonts w:hint="eastAsia" w:ascii="宋体" w:hAnsi="宋体"/>
                <w:sz w:val="24"/>
              </w:rPr>
              <w:t>1副</w:t>
            </w:r>
          </w:p>
        </w:tc>
        <w:tc>
          <w:tcPr>
            <w:tcW w:w="96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jc w:val="center"/>
              <w:rPr>
                <w:rFonts w:hint="eastAsia" w:ascii="宋体" w:hAnsi="宋体"/>
                <w:sz w:val="24"/>
              </w:rPr>
            </w:pPr>
            <w:r>
              <w:rPr>
                <w:rFonts w:hint="eastAsia" w:ascii="宋体" w:hAnsi="宋体"/>
                <w:sz w:val="24"/>
              </w:rPr>
              <w:t>2</w:t>
            </w:r>
          </w:p>
        </w:tc>
        <w:tc>
          <w:tcPr>
            <w:tcW w:w="2230" w:type="dxa"/>
            <w:noWrap w:val="0"/>
            <w:vAlign w:val="center"/>
          </w:tcPr>
          <w:p>
            <w:pPr>
              <w:jc w:val="center"/>
              <w:rPr>
                <w:rFonts w:ascii="宋体" w:hAnsi="宋体"/>
                <w:sz w:val="24"/>
              </w:rPr>
            </w:pPr>
            <w:r>
              <w:rPr>
                <w:rFonts w:hint="eastAsia" w:ascii="宋体" w:hAnsi="宋体"/>
                <w:sz w:val="24"/>
              </w:rPr>
              <w:t>铝百叶帘</w:t>
            </w:r>
          </w:p>
        </w:tc>
        <w:tc>
          <w:tcPr>
            <w:tcW w:w="3625" w:type="dxa"/>
            <w:noWrap w:val="0"/>
            <w:vAlign w:val="center"/>
          </w:tcPr>
          <w:p>
            <w:pPr>
              <w:jc w:val="center"/>
              <w:rPr>
                <w:rFonts w:ascii="宋体" w:hAnsi="宋体"/>
                <w:sz w:val="24"/>
              </w:rPr>
            </w:pPr>
            <w:r>
              <w:rPr>
                <w:rFonts w:hint="eastAsia" w:ascii="宋体" w:hAnsi="宋体"/>
                <w:sz w:val="24"/>
              </w:rPr>
              <w:t>成品：1000mm×1000mm</w:t>
            </w:r>
          </w:p>
        </w:tc>
        <w:tc>
          <w:tcPr>
            <w:tcW w:w="968" w:type="dxa"/>
            <w:noWrap w:val="0"/>
            <w:vAlign w:val="center"/>
          </w:tcPr>
          <w:p>
            <w:pPr>
              <w:ind w:left="0" w:leftChars="0" w:firstLine="0" w:firstLineChars="0"/>
              <w:jc w:val="both"/>
              <w:rPr>
                <w:rFonts w:ascii="宋体" w:hAnsi="宋体"/>
                <w:sz w:val="24"/>
              </w:rPr>
            </w:pPr>
            <w:r>
              <w:rPr>
                <w:rFonts w:hint="eastAsia" w:ascii="宋体" w:hAnsi="宋体"/>
                <w:sz w:val="24"/>
              </w:rPr>
              <w:t>1副</w:t>
            </w:r>
          </w:p>
        </w:tc>
        <w:tc>
          <w:tcPr>
            <w:tcW w:w="96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jc w:val="center"/>
              <w:rPr>
                <w:rFonts w:ascii="宋体" w:hAnsi="宋体"/>
                <w:sz w:val="24"/>
              </w:rPr>
            </w:pPr>
            <w:r>
              <w:rPr>
                <w:rFonts w:hint="eastAsia" w:ascii="宋体" w:hAnsi="宋体"/>
                <w:sz w:val="24"/>
              </w:rPr>
              <w:t>3</w:t>
            </w:r>
          </w:p>
        </w:tc>
        <w:tc>
          <w:tcPr>
            <w:tcW w:w="2230" w:type="dxa"/>
            <w:noWrap w:val="0"/>
            <w:vAlign w:val="center"/>
          </w:tcPr>
          <w:p>
            <w:pPr>
              <w:jc w:val="center"/>
              <w:rPr>
                <w:rFonts w:ascii="宋体" w:hAnsi="宋体"/>
                <w:sz w:val="24"/>
              </w:rPr>
            </w:pPr>
            <w:r>
              <w:rPr>
                <w:rFonts w:hint="eastAsia" w:ascii="宋体" w:hAnsi="宋体"/>
                <w:sz w:val="24"/>
              </w:rPr>
              <w:t>布艺窗帘轨道</w:t>
            </w:r>
          </w:p>
        </w:tc>
        <w:tc>
          <w:tcPr>
            <w:tcW w:w="3625" w:type="dxa"/>
            <w:noWrap w:val="0"/>
            <w:vAlign w:val="center"/>
          </w:tcPr>
          <w:p>
            <w:pPr>
              <w:jc w:val="center"/>
              <w:rPr>
                <w:rFonts w:hint="eastAsia" w:ascii="宋体" w:hAnsi="宋体"/>
                <w:sz w:val="24"/>
              </w:rPr>
            </w:pPr>
            <w:r>
              <w:rPr>
                <w:rFonts w:hint="eastAsia" w:ascii="宋体" w:hAnsi="宋体"/>
                <w:sz w:val="24"/>
              </w:rPr>
              <w:t>0.5m，含配件</w:t>
            </w:r>
          </w:p>
        </w:tc>
        <w:tc>
          <w:tcPr>
            <w:tcW w:w="968" w:type="dxa"/>
            <w:noWrap w:val="0"/>
            <w:vAlign w:val="center"/>
          </w:tcPr>
          <w:p>
            <w:pPr>
              <w:ind w:left="0" w:leftChars="0" w:firstLine="0" w:firstLineChars="0"/>
              <w:jc w:val="both"/>
              <w:rPr>
                <w:rFonts w:hint="eastAsia" w:ascii="宋体" w:hAnsi="宋体"/>
                <w:sz w:val="24"/>
              </w:rPr>
            </w:pPr>
            <w:r>
              <w:rPr>
                <w:rFonts w:hint="eastAsia" w:ascii="宋体" w:hAnsi="宋体"/>
                <w:sz w:val="24"/>
              </w:rPr>
              <w:t>0.5米</w:t>
            </w:r>
          </w:p>
        </w:tc>
        <w:tc>
          <w:tcPr>
            <w:tcW w:w="96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jc w:val="center"/>
              <w:rPr>
                <w:rFonts w:ascii="宋体" w:hAnsi="宋体"/>
                <w:sz w:val="24"/>
              </w:rPr>
            </w:pPr>
            <w:r>
              <w:rPr>
                <w:rFonts w:hint="eastAsia" w:ascii="宋体" w:hAnsi="宋体"/>
                <w:sz w:val="24"/>
              </w:rPr>
              <w:t>4</w:t>
            </w:r>
          </w:p>
        </w:tc>
        <w:tc>
          <w:tcPr>
            <w:tcW w:w="2230" w:type="dxa"/>
            <w:noWrap w:val="0"/>
            <w:vAlign w:val="center"/>
          </w:tcPr>
          <w:p>
            <w:pPr>
              <w:jc w:val="center"/>
              <w:rPr>
                <w:rFonts w:ascii="宋体" w:hAnsi="宋体"/>
                <w:sz w:val="24"/>
              </w:rPr>
            </w:pPr>
            <w:r>
              <w:rPr>
                <w:rFonts w:hint="eastAsia" w:ascii="宋体" w:hAnsi="宋体"/>
                <w:sz w:val="24"/>
              </w:rPr>
              <w:t>纱帘</w:t>
            </w:r>
          </w:p>
        </w:tc>
        <w:tc>
          <w:tcPr>
            <w:tcW w:w="3625" w:type="dxa"/>
            <w:noWrap w:val="0"/>
            <w:vAlign w:val="center"/>
          </w:tcPr>
          <w:p>
            <w:pPr>
              <w:jc w:val="center"/>
              <w:rPr>
                <w:rFonts w:hint="eastAsia" w:ascii="宋体" w:hAnsi="宋体"/>
                <w:sz w:val="24"/>
              </w:rPr>
            </w:pPr>
            <w:r>
              <w:rPr>
                <w:rFonts w:hint="eastAsia" w:ascii="宋体" w:hAnsi="宋体"/>
                <w:sz w:val="24"/>
              </w:rPr>
              <w:t>成品：1000mm×1000mm</w:t>
            </w:r>
          </w:p>
        </w:tc>
        <w:tc>
          <w:tcPr>
            <w:tcW w:w="968" w:type="dxa"/>
            <w:noWrap w:val="0"/>
            <w:vAlign w:val="center"/>
          </w:tcPr>
          <w:p>
            <w:pPr>
              <w:ind w:left="0" w:leftChars="0" w:firstLine="0" w:firstLineChars="0"/>
              <w:jc w:val="both"/>
              <w:rPr>
                <w:rFonts w:hint="eastAsia" w:ascii="宋体" w:hAnsi="宋体"/>
                <w:sz w:val="24"/>
              </w:rPr>
            </w:pPr>
            <w:r>
              <w:rPr>
                <w:rFonts w:hint="eastAsia" w:ascii="宋体" w:hAnsi="宋体"/>
                <w:sz w:val="24"/>
              </w:rPr>
              <w:t>1副</w:t>
            </w:r>
          </w:p>
        </w:tc>
        <w:tc>
          <w:tcPr>
            <w:tcW w:w="96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7" w:type="dxa"/>
            <w:noWrap w:val="0"/>
            <w:vAlign w:val="center"/>
          </w:tcPr>
          <w:p>
            <w:pPr>
              <w:jc w:val="center"/>
              <w:rPr>
                <w:rFonts w:hint="eastAsia" w:ascii="宋体" w:hAnsi="宋体"/>
                <w:sz w:val="24"/>
              </w:rPr>
            </w:pPr>
            <w:r>
              <w:rPr>
                <w:rFonts w:hint="eastAsia" w:ascii="宋体" w:hAnsi="宋体"/>
                <w:sz w:val="24"/>
              </w:rPr>
              <w:t>5</w:t>
            </w:r>
          </w:p>
        </w:tc>
        <w:tc>
          <w:tcPr>
            <w:tcW w:w="2230" w:type="dxa"/>
            <w:noWrap w:val="0"/>
            <w:vAlign w:val="center"/>
          </w:tcPr>
          <w:p>
            <w:pPr>
              <w:jc w:val="center"/>
              <w:rPr>
                <w:rFonts w:hint="eastAsia" w:ascii="宋体" w:hAnsi="宋体"/>
                <w:sz w:val="24"/>
              </w:rPr>
            </w:pPr>
            <w:r>
              <w:rPr>
                <w:rFonts w:hint="eastAsia" w:ascii="宋体" w:hAnsi="宋体"/>
                <w:sz w:val="24"/>
              </w:rPr>
              <w:t>卷帘</w:t>
            </w:r>
          </w:p>
        </w:tc>
        <w:tc>
          <w:tcPr>
            <w:tcW w:w="3625" w:type="dxa"/>
            <w:noWrap w:val="0"/>
            <w:vAlign w:val="center"/>
          </w:tcPr>
          <w:p>
            <w:pPr>
              <w:jc w:val="center"/>
              <w:rPr>
                <w:rFonts w:ascii="宋体" w:hAnsi="宋体"/>
                <w:sz w:val="24"/>
              </w:rPr>
            </w:pPr>
            <w:r>
              <w:rPr>
                <w:rFonts w:hint="eastAsia" w:ascii="宋体" w:hAnsi="宋体"/>
                <w:sz w:val="24"/>
              </w:rPr>
              <w:t>成品：1000mm×1000mm，含配件</w:t>
            </w:r>
          </w:p>
        </w:tc>
        <w:tc>
          <w:tcPr>
            <w:tcW w:w="968" w:type="dxa"/>
            <w:noWrap w:val="0"/>
            <w:vAlign w:val="center"/>
          </w:tcPr>
          <w:p>
            <w:pPr>
              <w:ind w:left="0" w:leftChars="0" w:firstLine="0" w:firstLineChars="0"/>
              <w:jc w:val="both"/>
              <w:rPr>
                <w:rFonts w:hint="eastAsia" w:ascii="宋体" w:hAnsi="宋体"/>
                <w:sz w:val="24"/>
              </w:rPr>
            </w:pPr>
            <w:r>
              <w:rPr>
                <w:rFonts w:hint="eastAsia" w:ascii="宋体" w:hAnsi="宋体"/>
                <w:sz w:val="24"/>
              </w:rPr>
              <w:t>1副</w:t>
            </w:r>
          </w:p>
        </w:tc>
        <w:tc>
          <w:tcPr>
            <w:tcW w:w="968" w:type="dxa"/>
            <w:noWrap w:val="0"/>
            <w:vAlign w:val="center"/>
          </w:tcPr>
          <w:p>
            <w:pPr>
              <w:jc w:val="center"/>
              <w:rPr>
                <w:rFonts w:hint="eastAsia" w:ascii="宋体" w:hAnsi="宋体"/>
                <w:sz w:val="24"/>
              </w:rPr>
            </w:pPr>
          </w:p>
        </w:tc>
      </w:tr>
      <w:bookmarkEnd w:id="126"/>
    </w:tbl>
    <w:p>
      <w:pPr>
        <w:sectPr>
          <w:pgSz w:w="11906" w:h="16838"/>
          <w:pgMar w:top="1440" w:right="1800" w:bottom="1440" w:left="1800" w:header="567" w:footer="595" w:gutter="0"/>
          <w:cols w:space="720" w:num="1"/>
          <w:docGrid w:type="lines" w:linePitch="312" w:charSpace="0"/>
        </w:sectPr>
      </w:pPr>
    </w:p>
    <w:p>
      <w:pPr>
        <w:pStyle w:val="2"/>
        <w:jc w:val="center"/>
        <w:rPr>
          <w:rFonts w:hint="eastAsia"/>
          <w:b w:val="0"/>
          <w:bCs/>
        </w:rPr>
      </w:pPr>
      <w:r>
        <w:rPr>
          <w:rFonts w:hint="eastAsia"/>
          <w:b w:val="0"/>
          <w:bCs/>
        </w:rPr>
        <w:t>参考的窗帘面料和窗轨大图样</w:t>
      </w:r>
    </w:p>
    <w:p>
      <w:pPr>
        <w:pStyle w:val="2"/>
        <w:jc w:val="center"/>
        <w:rPr>
          <w:b w:val="0"/>
          <w:bCs/>
        </w:rPr>
      </w:pPr>
      <w:r>
        <w:rPr>
          <w:rFonts w:hint="eastAsia"/>
          <w:b w:val="0"/>
          <w:bCs/>
        </w:rPr>
        <w:t>（一）布艺窗帘面料</w:t>
      </w:r>
    </w:p>
    <w:p>
      <w:pPr>
        <w:widowControl/>
        <w:jc w:val="center"/>
        <w:rPr>
          <w:color w:val="000000"/>
          <w:sz w:val="24"/>
        </w:rPr>
      </w:pPr>
      <w:r>
        <w:rPr>
          <w:color w:val="000000"/>
          <w:sz w:val="24"/>
        </w:rPr>
        <w:drawing>
          <wp:inline distT="0" distB="0" distL="114300" distR="114300">
            <wp:extent cx="1440180" cy="2520315"/>
            <wp:effectExtent l="0" t="0" r="7620" b="13335"/>
            <wp:docPr id="2" name="图片 7"/>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22"/>
                    <a:stretch>
                      <a:fillRect/>
                    </a:stretch>
                  </pic:blipFill>
                  <pic:spPr>
                    <a:xfrm>
                      <a:off x="0" y="0"/>
                      <a:ext cx="1440180" cy="2520315"/>
                    </a:xfrm>
                    <a:prstGeom prst="rect">
                      <a:avLst/>
                    </a:prstGeom>
                    <a:noFill/>
                    <a:ln>
                      <a:noFill/>
                    </a:ln>
                  </pic:spPr>
                </pic:pic>
              </a:graphicData>
            </a:graphic>
          </wp:inline>
        </w:drawing>
      </w:r>
      <w:r>
        <w:rPr>
          <w:rFonts w:ascii="宋体" w:hAnsi="宋体" w:cs="宋体"/>
          <w:kern w:val="0"/>
          <w:szCs w:val="21"/>
        </w:rPr>
        <w:t xml:space="preserve">      </w:t>
      </w:r>
      <w:r>
        <w:rPr>
          <w:color w:val="000000"/>
          <w:sz w:val="24"/>
        </w:rPr>
        <w:drawing>
          <wp:inline distT="0" distB="0" distL="114300" distR="114300">
            <wp:extent cx="1440180" cy="2520315"/>
            <wp:effectExtent l="0" t="0" r="7620" b="13335"/>
            <wp:docPr id="6" name="图片 8" descr="1564556917(1)"/>
            <wp:cNvGraphicFramePr/>
            <a:graphic xmlns:a="http://schemas.openxmlformats.org/drawingml/2006/main">
              <a:graphicData uri="http://schemas.openxmlformats.org/drawingml/2006/picture">
                <pic:pic xmlns:pic="http://schemas.openxmlformats.org/drawingml/2006/picture">
                  <pic:nvPicPr>
                    <pic:cNvPr id="6" name="图片 8" descr="1564556917(1)"/>
                    <pic:cNvPicPr/>
                  </pic:nvPicPr>
                  <pic:blipFill>
                    <a:blip r:embed="rId23"/>
                    <a:stretch>
                      <a:fillRect/>
                    </a:stretch>
                  </pic:blipFill>
                  <pic:spPr>
                    <a:xfrm>
                      <a:off x="0" y="0"/>
                      <a:ext cx="1440180" cy="2520315"/>
                    </a:xfrm>
                    <a:prstGeom prst="rect">
                      <a:avLst/>
                    </a:prstGeom>
                    <a:noFill/>
                    <a:ln>
                      <a:noFill/>
                    </a:ln>
                  </pic:spPr>
                </pic:pic>
              </a:graphicData>
            </a:graphic>
          </wp:inline>
        </w:drawing>
      </w:r>
    </w:p>
    <w:p>
      <w:pPr>
        <w:pStyle w:val="7"/>
        <w:rPr>
          <w:color w:val="000000"/>
          <w:sz w:val="24"/>
        </w:rPr>
      </w:pPr>
    </w:p>
    <w:p>
      <w:pPr>
        <w:rPr>
          <w:color w:val="000000"/>
          <w:sz w:val="24"/>
        </w:rPr>
      </w:pPr>
    </w:p>
    <w:p>
      <w:pPr>
        <w:pStyle w:val="2"/>
        <w:jc w:val="center"/>
        <w:rPr>
          <w:b w:val="0"/>
          <w:bCs/>
        </w:rPr>
      </w:pPr>
      <w:r>
        <w:rPr>
          <w:rFonts w:hint="eastAsia"/>
          <w:b w:val="0"/>
          <w:bCs/>
        </w:rPr>
        <w:t>（二）铝百叶帘</w:t>
      </w:r>
    </w:p>
    <w:p>
      <w:pPr>
        <w:jc w:val="center"/>
        <w:sectPr>
          <w:pgSz w:w="11906" w:h="16838"/>
          <w:pgMar w:top="1440" w:right="1800" w:bottom="1440" w:left="1800" w:header="567" w:footer="595" w:gutter="0"/>
          <w:cols w:space="720" w:num="1"/>
          <w:docGrid w:type="lines" w:linePitch="312" w:charSpace="0"/>
        </w:sectPr>
      </w:pPr>
      <w:r>
        <w:rPr>
          <w:rFonts w:hint="eastAsia"/>
          <w:sz w:val="24"/>
          <w:lang w:bidi="ar"/>
        </w:rPr>
        <w:t xml:space="preserve">       </w:t>
      </w:r>
      <w:r>
        <w:drawing>
          <wp:inline distT="0" distB="0" distL="114300" distR="114300">
            <wp:extent cx="1924685" cy="3714750"/>
            <wp:effectExtent l="0" t="0" r="184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1924685" cy="3714750"/>
                    </a:xfrm>
                    <a:prstGeom prst="rect">
                      <a:avLst/>
                    </a:prstGeom>
                    <a:noFill/>
                    <a:ln>
                      <a:noFill/>
                    </a:ln>
                  </pic:spPr>
                </pic:pic>
              </a:graphicData>
            </a:graphic>
          </wp:inline>
        </w:drawing>
      </w:r>
    </w:p>
    <w:p>
      <w:pPr>
        <w:pStyle w:val="2"/>
        <w:jc w:val="center"/>
        <w:rPr>
          <w:b w:val="0"/>
          <w:bCs/>
        </w:rPr>
      </w:pPr>
      <w:r>
        <w:rPr>
          <w:rFonts w:hint="eastAsia"/>
          <w:b w:val="0"/>
          <w:bCs/>
        </w:rPr>
        <w:t>（三）布艺窗帘轨道</w:t>
      </w:r>
    </w:p>
    <w:p>
      <w:pPr>
        <w:widowControl/>
        <w:jc w:val="center"/>
        <w:rPr>
          <w:color w:val="000000"/>
          <w:sz w:val="24"/>
        </w:rPr>
      </w:pPr>
      <w:r>
        <w:drawing>
          <wp:inline distT="0" distB="0" distL="114300" distR="114300">
            <wp:extent cx="5274310" cy="1414780"/>
            <wp:effectExtent l="0" t="0" r="2540" b="13970"/>
            <wp:docPr id="12" name="图片 1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未命名"/>
                    <pic:cNvPicPr>
                      <a:picLocks noChangeAspect="1"/>
                    </pic:cNvPicPr>
                  </pic:nvPicPr>
                  <pic:blipFill>
                    <a:blip r:embed="rId24"/>
                    <a:stretch>
                      <a:fillRect/>
                    </a:stretch>
                  </pic:blipFill>
                  <pic:spPr>
                    <a:xfrm>
                      <a:off x="0" y="0"/>
                      <a:ext cx="5274310" cy="1414780"/>
                    </a:xfrm>
                    <a:prstGeom prst="rect">
                      <a:avLst/>
                    </a:prstGeom>
                    <a:noFill/>
                    <a:ln>
                      <a:noFill/>
                    </a:ln>
                  </pic:spPr>
                </pic:pic>
              </a:graphicData>
            </a:graphic>
          </wp:inline>
        </w:drawing>
      </w:r>
    </w:p>
    <w:p>
      <w:pPr>
        <w:pStyle w:val="7"/>
        <w:rPr>
          <w:color w:val="000000"/>
          <w:sz w:val="24"/>
        </w:rPr>
      </w:pPr>
    </w:p>
    <w:p>
      <w:pPr>
        <w:rPr>
          <w:color w:val="000000"/>
          <w:sz w:val="24"/>
        </w:rPr>
      </w:pPr>
    </w:p>
    <w:p>
      <w:pPr>
        <w:pStyle w:val="7"/>
        <w:rPr>
          <w:color w:val="000000"/>
          <w:sz w:val="24"/>
        </w:rPr>
      </w:pPr>
    </w:p>
    <w:p>
      <w:pPr>
        <w:pStyle w:val="2"/>
        <w:jc w:val="center"/>
        <w:rPr>
          <w:rFonts w:hint="eastAsia"/>
          <w:b w:val="0"/>
          <w:bCs/>
        </w:rPr>
      </w:pPr>
      <w:r>
        <w:rPr>
          <w:rFonts w:hint="eastAsia"/>
          <w:b w:val="0"/>
          <w:bCs/>
        </w:rPr>
        <w:t>（四）纱帘</w:t>
      </w:r>
    </w:p>
    <w:p>
      <w:pPr>
        <w:pStyle w:val="2"/>
        <w:jc w:val="center"/>
        <w:sectPr>
          <w:pgSz w:w="11906" w:h="16838"/>
          <w:pgMar w:top="1440" w:right="1800" w:bottom="1440" w:left="1800" w:header="567" w:footer="595" w:gutter="0"/>
          <w:cols w:space="720" w:num="1"/>
          <w:docGrid w:type="lines" w:linePitch="312" w:charSpace="0"/>
        </w:sectPr>
      </w:pPr>
      <w:r>
        <w:drawing>
          <wp:inline distT="0" distB="0" distL="114300" distR="114300">
            <wp:extent cx="1415415" cy="3761740"/>
            <wp:effectExtent l="0" t="0" r="13335" b="10160"/>
            <wp:docPr id="3" name="图片 11" descr="说明: 1591076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说明: 1591076919(1)"/>
                    <pic:cNvPicPr>
                      <a:picLocks noChangeAspect="1"/>
                    </pic:cNvPicPr>
                  </pic:nvPicPr>
                  <pic:blipFill>
                    <a:blip r:embed="rId14"/>
                    <a:stretch>
                      <a:fillRect/>
                    </a:stretch>
                  </pic:blipFill>
                  <pic:spPr>
                    <a:xfrm>
                      <a:off x="0" y="0"/>
                      <a:ext cx="1415415" cy="3761740"/>
                    </a:xfrm>
                    <a:prstGeom prst="rect">
                      <a:avLst/>
                    </a:prstGeom>
                    <a:noFill/>
                    <a:ln>
                      <a:noFill/>
                    </a:ln>
                  </pic:spPr>
                </pic:pic>
              </a:graphicData>
            </a:graphic>
          </wp:inline>
        </w:drawing>
      </w:r>
    </w:p>
    <w:p>
      <w:pPr>
        <w:pStyle w:val="2"/>
        <w:jc w:val="center"/>
        <w:rPr>
          <w:rFonts w:hint="eastAsia"/>
          <w:b w:val="0"/>
          <w:bCs/>
        </w:rPr>
      </w:pPr>
      <w:r>
        <w:rPr>
          <w:rFonts w:hint="eastAsia"/>
          <w:b w:val="0"/>
          <w:bCs/>
        </w:rPr>
        <w:t>（五）卷帘</w:t>
      </w:r>
    </w:p>
    <w:p>
      <w:pPr>
        <w:pStyle w:val="2"/>
        <w:ind w:firstLine="964" w:firstLineChars="300"/>
        <w:rPr>
          <w:rFonts w:hint="eastAsia"/>
          <w:b w:val="0"/>
          <w:bCs/>
        </w:rPr>
      </w:pPr>
      <w:r>
        <w:drawing>
          <wp:anchor distT="0" distB="0" distL="114300" distR="114300" simplePos="0" relativeHeight="251664384" behindDoc="0" locked="0" layoutInCell="1" allowOverlap="1">
            <wp:simplePos x="0" y="0"/>
            <wp:positionH relativeFrom="column">
              <wp:posOffset>243840</wp:posOffset>
            </wp:positionH>
            <wp:positionV relativeFrom="paragraph">
              <wp:posOffset>459105</wp:posOffset>
            </wp:positionV>
            <wp:extent cx="1709420" cy="4630420"/>
            <wp:effectExtent l="0" t="0" r="5080" b="1778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1709420" cy="463042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2943860</wp:posOffset>
            </wp:positionH>
            <wp:positionV relativeFrom="paragraph">
              <wp:posOffset>636905</wp:posOffset>
            </wp:positionV>
            <wp:extent cx="2177415" cy="2593340"/>
            <wp:effectExtent l="0" t="0" r="13335" b="16510"/>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2177415" cy="2593340"/>
                    </a:xfrm>
                    <a:prstGeom prst="rect">
                      <a:avLst/>
                    </a:prstGeom>
                    <a:noFill/>
                    <a:ln>
                      <a:noFill/>
                    </a:ln>
                  </pic:spPr>
                </pic:pic>
              </a:graphicData>
            </a:graphic>
          </wp:anchor>
        </w:drawing>
      </w:r>
      <w:r>
        <w:rPr>
          <w:rFonts w:hint="eastAsia"/>
          <w:b w:val="0"/>
          <w:bCs/>
        </w:rPr>
        <w:t>卷帘面料                拉珠卷帘升降装置系统</w:t>
      </w:r>
    </w:p>
    <w:p>
      <w:pPr>
        <w:rPr>
          <w:rFonts w:hint="eastAsia" w:ascii="Arial" w:hAnsi="Arial"/>
          <w:bCs/>
        </w:rPr>
      </w:pPr>
    </w:p>
    <w:p>
      <w:pPr>
        <w:pStyle w:val="2"/>
        <w:rPr>
          <w:rFonts w:hint="eastAsia"/>
          <w:b w:val="0"/>
          <w:bCs/>
        </w:rPr>
      </w:pPr>
    </w:p>
    <w:p>
      <w:pPr>
        <w:rPr>
          <w:rFonts w:hint="eastAsia" w:ascii="Arial" w:hAnsi="Arial"/>
          <w:bCs/>
        </w:rPr>
      </w:pPr>
    </w:p>
    <w:p>
      <w:pPr>
        <w:pStyle w:val="2"/>
        <w:rPr>
          <w:rFonts w:hint="eastAsia"/>
          <w:b w:val="0"/>
          <w:bCs/>
        </w:rPr>
      </w:pPr>
    </w:p>
    <w:p>
      <w:pPr>
        <w:rPr>
          <w:rFonts w:hint="eastAsia" w:ascii="Arial" w:hAnsi="Arial"/>
          <w:bCs/>
        </w:rPr>
      </w:pPr>
    </w:p>
    <w:p>
      <w:pPr>
        <w:pStyle w:val="2"/>
        <w:rPr>
          <w:rFonts w:hint="eastAsia"/>
          <w:b w:val="0"/>
          <w:bCs/>
        </w:rPr>
      </w:pPr>
    </w:p>
    <w:p>
      <w:pPr>
        <w:rPr>
          <w:rFonts w:hint="eastAsia" w:ascii="Arial" w:hAnsi="Arial"/>
          <w:bCs/>
        </w:rPr>
      </w:pPr>
    </w:p>
    <w:p>
      <w:pPr>
        <w:pStyle w:val="2"/>
        <w:rPr>
          <w:rFonts w:hint="eastAsia"/>
          <w:b w:val="0"/>
          <w:bCs/>
        </w:rPr>
      </w:pPr>
    </w:p>
    <w:p>
      <w:pPr>
        <w:rPr>
          <w:rFonts w:hint="eastAsia" w:ascii="Arial" w:hAnsi="Arial"/>
          <w:bCs/>
        </w:rPr>
      </w:pPr>
    </w:p>
    <w:p>
      <w:pPr>
        <w:pStyle w:val="2"/>
        <w:ind w:firstLine="964" w:firstLineChars="300"/>
        <w:rPr>
          <w:b w:val="0"/>
          <w:bCs/>
        </w:rPr>
      </w:pPr>
      <w:r>
        <w:drawing>
          <wp:anchor distT="0" distB="0" distL="114300" distR="114300" simplePos="0" relativeHeight="251666432" behindDoc="0" locked="0" layoutInCell="1" allowOverlap="1">
            <wp:simplePos x="0" y="0"/>
            <wp:positionH relativeFrom="column">
              <wp:posOffset>3152775</wp:posOffset>
            </wp:positionH>
            <wp:positionV relativeFrom="paragraph">
              <wp:posOffset>651510</wp:posOffset>
            </wp:positionV>
            <wp:extent cx="1457960" cy="2288540"/>
            <wp:effectExtent l="0" t="0" r="8890" b="1651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rcRect b="11842"/>
                    <a:stretch>
                      <a:fillRect/>
                    </a:stretch>
                  </pic:blipFill>
                  <pic:spPr>
                    <a:xfrm>
                      <a:off x="0" y="0"/>
                      <a:ext cx="1457960" cy="2288540"/>
                    </a:xfrm>
                    <a:prstGeom prst="rect">
                      <a:avLst/>
                    </a:prstGeom>
                    <a:noFill/>
                    <a:ln>
                      <a:noFill/>
                    </a:ln>
                  </pic:spPr>
                </pic:pic>
              </a:graphicData>
            </a:graphic>
          </wp:anchor>
        </w:drawing>
      </w:r>
      <w:r>
        <w:rPr>
          <w:rFonts w:hint="eastAsia"/>
          <w:b w:val="0"/>
          <w:bCs/>
        </w:rPr>
        <w:t>上梁卷管                      底槽杆</w:t>
      </w:r>
    </w:p>
    <w:p>
      <w:pPr>
        <w:rPr>
          <w:rFonts w:hint="eastAsia" w:ascii="Arial" w:hAnsi="Arial"/>
          <w:bCs/>
        </w:rPr>
      </w:pPr>
    </w:p>
    <w:p>
      <w:pPr>
        <w:pStyle w:val="2"/>
        <w:rPr>
          <w:rFonts w:hint="eastAsia"/>
          <w:b w:val="0"/>
          <w:bCs/>
        </w:rPr>
      </w:pPr>
    </w:p>
    <w:p>
      <w:pPr>
        <w:sectPr>
          <w:pgSz w:w="11906" w:h="16838"/>
          <w:pgMar w:top="1440" w:right="1800" w:bottom="1440" w:left="1800" w:header="567" w:footer="595" w:gutter="0"/>
          <w:cols w:space="720" w:num="1"/>
          <w:docGrid w:type="lines" w:linePitch="312" w:charSpace="0"/>
        </w:sectPr>
      </w:pPr>
      <w:r>
        <w:drawing>
          <wp:anchor distT="0" distB="0" distL="114300" distR="114300" simplePos="0" relativeHeight="251665408" behindDoc="0" locked="0" layoutInCell="1" allowOverlap="1">
            <wp:simplePos x="0" y="0"/>
            <wp:positionH relativeFrom="column">
              <wp:posOffset>432435</wp:posOffset>
            </wp:positionH>
            <wp:positionV relativeFrom="paragraph">
              <wp:posOffset>-238125</wp:posOffset>
            </wp:positionV>
            <wp:extent cx="1521460" cy="2326640"/>
            <wp:effectExtent l="0" t="0" r="2540" b="1651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rcRect b="9367"/>
                    <a:stretch>
                      <a:fillRect/>
                    </a:stretch>
                  </pic:blipFill>
                  <pic:spPr>
                    <a:xfrm>
                      <a:off x="0" y="0"/>
                      <a:ext cx="1521460" cy="2326640"/>
                    </a:xfrm>
                    <a:prstGeom prst="rect">
                      <a:avLst/>
                    </a:prstGeom>
                    <a:noFill/>
                    <a:ln>
                      <a:noFill/>
                    </a:ln>
                  </pic:spPr>
                </pic:pic>
              </a:graphicData>
            </a:graphic>
          </wp:anchor>
        </w:drawing>
      </w:r>
    </w:p>
    <w:p>
      <w:pPr>
        <w:pStyle w:val="2"/>
        <w:rPr>
          <w:rFonts w:hint="eastAsia" w:ascii="宋体" w:hAnsi="宋体" w:eastAsia="宋体" w:cs="宋体"/>
          <w:sz w:val="30"/>
          <w:szCs w:val="30"/>
        </w:rPr>
      </w:pPr>
      <w:r>
        <w:rPr>
          <w:rFonts w:hint="eastAsia" w:ascii="宋体" w:hAnsi="宋体" w:eastAsia="宋体" w:cs="宋体"/>
          <w:sz w:val="30"/>
          <w:szCs w:val="30"/>
        </w:rPr>
        <w:t>6、评分标准</w:t>
      </w:r>
    </w:p>
    <w:tbl>
      <w:tblPr>
        <w:tblStyle w:val="17"/>
        <w:tblW w:w="969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57" w:type="dxa"/>
          <w:left w:w="85" w:type="dxa"/>
          <w:bottom w:w="0" w:type="dxa"/>
          <w:right w:w="85" w:type="dxa"/>
        </w:tblCellMar>
      </w:tblPr>
      <w:tblGrid>
        <w:gridCol w:w="769"/>
        <w:gridCol w:w="1200"/>
        <w:gridCol w:w="935"/>
        <w:gridCol w:w="5307"/>
        <w:gridCol w:w="148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doub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sz w:val="21"/>
                <w:szCs w:val="21"/>
                <w:lang w:val="zh-CN"/>
              </w:rPr>
            </w:pPr>
            <w:r>
              <w:rPr>
                <w:rFonts w:hint="eastAsia"/>
                <w:sz w:val="21"/>
                <w:szCs w:val="21"/>
                <w:lang w:val="zh-CN"/>
              </w:rPr>
              <w:t>序号</w:t>
            </w:r>
          </w:p>
        </w:tc>
        <w:tc>
          <w:tcPr>
            <w:tcW w:w="1200" w:type="dxa"/>
            <w:tcBorders>
              <w:top w:val="doub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评分因数及权重</w:t>
            </w:r>
          </w:p>
        </w:tc>
        <w:tc>
          <w:tcPr>
            <w:tcW w:w="935" w:type="dxa"/>
            <w:tcBorders>
              <w:top w:val="doub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分值</w:t>
            </w:r>
          </w:p>
        </w:tc>
        <w:tc>
          <w:tcPr>
            <w:tcW w:w="5307" w:type="dxa"/>
            <w:tcBorders>
              <w:top w:val="doub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评分标准</w:t>
            </w:r>
          </w:p>
        </w:tc>
        <w:tc>
          <w:tcPr>
            <w:tcW w:w="1485" w:type="dxa"/>
            <w:tcBorders>
              <w:top w:val="doub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1</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价格30%</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30分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rPr>
            </w:pPr>
            <w:r>
              <w:rPr>
                <w:rFonts w:hint="eastAsia"/>
                <w:sz w:val="21"/>
                <w:szCs w:val="21"/>
              </w:rPr>
              <w:t>1、以满足比选文件要求且报价最低的比选报价为评审基准价，其价格分为满分。其他供应商的价格分统一按照下列公式计算：比选报价得分=(比选基准价／最后比选报价)×分值；</w:t>
            </w:r>
          </w:p>
          <w:p>
            <w:pPr>
              <w:wordWrap w:val="0"/>
              <w:spacing w:line="360" w:lineRule="auto"/>
              <w:ind w:left="0" w:leftChars="0" w:firstLine="0" w:firstLineChars="0"/>
              <w:jc w:val="left"/>
              <w:rPr>
                <w:rFonts w:hint="eastAsia"/>
                <w:sz w:val="21"/>
                <w:szCs w:val="21"/>
                <w:lang w:val="zh-CN"/>
              </w:rPr>
            </w:pPr>
            <w:r>
              <w:rPr>
                <w:rFonts w:hint="eastAsia"/>
                <w:sz w:val="21"/>
                <w:szCs w:val="21"/>
              </w:rPr>
              <w:t>2、对小型和微型企业（含监狱企业、残疾人福利性单位）的比选报价（如涉及）给予10%的扣除，用扣除后的价格参与评审。</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left"/>
              <w:rPr>
                <w:rFonts w:hint="eastAsia"/>
                <w:sz w:val="21"/>
                <w:szCs w:val="21"/>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2</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技术参数要求</w:t>
            </w:r>
            <w:r>
              <w:rPr>
                <w:rFonts w:hint="eastAsia"/>
                <w:sz w:val="21"/>
                <w:szCs w:val="21"/>
              </w:rPr>
              <w:t>18</w:t>
            </w:r>
            <w:r>
              <w:rPr>
                <w:rFonts w:hint="eastAsia"/>
                <w:sz w:val="21"/>
                <w:szCs w:val="21"/>
                <w:lang w:val="zh-CN"/>
              </w:rPr>
              <w:t>%</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18</w:t>
            </w:r>
            <w:r>
              <w:rPr>
                <w:rFonts w:hint="eastAsia"/>
                <w:sz w:val="21"/>
                <w:szCs w:val="21"/>
                <w:lang w:val="zh-CN"/>
              </w:rPr>
              <w:t>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lang w:val="zh-CN"/>
              </w:rPr>
            </w:pPr>
            <w:r>
              <w:rPr>
                <w:rFonts w:hint="eastAsia"/>
                <w:sz w:val="21"/>
                <w:szCs w:val="21"/>
                <w:lang w:val="zh-CN"/>
              </w:rPr>
              <w:t>完全符合比选文件技术要求没有负偏离的得</w:t>
            </w:r>
            <w:r>
              <w:rPr>
                <w:rFonts w:hint="eastAsia"/>
                <w:sz w:val="21"/>
                <w:szCs w:val="21"/>
              </w:rPr>
              <w:t>20</w:t>
            </w:r>
            <w:r>
              <w:rPr>
                <w:rFonts w:hint="eastAsia"/>
                <w:sz w:val="21"/>
                <w:szCs w:val="21"/>
                <w:lang w:val="zh-CN"/>
              </w:rPr>
              <w:t>分。</w:t>
            </w:r>
          </w:p>
          <w:p>
            <w:pPr>
              <w:wordWrap w:val="0"/>
              <w:spacing w:line="360" w:lineRule="auto"/>
              <w:ind w:left="0" w:leftChars="0" w:firstLine="0" w:firstLineChars="0"/>
              <w:jc w:val="left"/>
              <w:rPr>
                <w:rFonts w:hint="eastAsia"/>
                <w:sz w:val="21"/>
                <w:szCs w:val="21"/>
                <w:lang w:val="zh-CN"/>
              </w:rPr>
            </w:pPr>
            <w:r>
              <w:rPr>
                <w:rFonts w:hint="eastAsia"/>
                <w:sz w:val="21"/>
                <w:szCs w:val="21"/>
                <w:lang w:val="zh-CN"/>
              </w:rPr>
              <w:t>1、非（★）号标注的技术参数每负偏离一项扣除 1分，扣完为止。</w:t>
            </w:r>
          </w:p>
          <w:p>
            <w:pPr>
              <w:wordWrap w:val="0"/>
              <w:spacing w:line="360" w:lineRule="auto"/>
              <w:ind w:left="0" w:leftChars="0" w:firstLine="0" w:firstLineChars="0"/>
              <w:jc w:val="left"/>
              <w:rPr>
                <w:rFonts w:hint="eastAsia"/>
                <w:sz w:val="21"/>
                <w:szCs w:val="21"/>
                <w:lang w:val="zh-CN"/>
              </w:rPr>
            </w:pPr>
            <w:r>
              <w:rPr>
                <w:rFonts w:hint="eastAsia"/>
                <w:sz w:val="21"/>
                <w:szCs w:val="21"/>
                <w:lang w:val="zh-CN"/>
              </w:rPr>
              <w:t>2、带（★）号标注的技术参数每负偏离一项扣除2分，扣完为止。</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left"/>
              <w:rPr>
                <w:rFonts w:hint="eastAsia"/>
                <w:sz w:val="21"/>
                <w:szCs w:val="21"/>
              </w:rPr>
            </w:pPr>
            <w:r>
              <w:rPr>
                <w:rFonts w:hint="eastAsia"/>
                <w:sz w:val="21"/>
                <w:szCs w:val="21"/>
              </w:rPr>
              <w:t>注：</w:t>
            </w:r>
            <w:r>
              <w:rPr>
                <w:rFonts w:hint="eastAsia"/>
                <w:sz w:val="21"/>
                <w:szCs w:val="21"/>
                <w:lang w:val="zh-CN"/>
              </w:rPr>
              <w:t>参数以带有</w:t>
            </w:r>
            <w:r>
              <w:rPr>
                <w:rFonts w:hint="eastAsia"/>
                <w:sz w:val="21"/>
                <w:szCs w:val="21"/>
              </w:rPr>
              <w:t>CMA标志的检测报告为准，提供检测报告复印件。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3</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样品</w:t>
            </w:r>
            <w:r>
              <w:rPr>
                <w:rFonts w:hint="eastAsia"/>
                <w:sz w:val="21"/>
                <w:szCs w:val="21"/>
              </w:rPr>
              <w:t>20</w:t>
            </w:r>
            <w:r>
              <w:rPr>
                <w:rFonts w:hint="eastAsia"/>
                <w:sz w:val="21"/>
                <w:szCs w:val="21"/>
                <w:lang w:val="zh-CN"/>
              </w:rPr>
              <w:t>%</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20</w:t>
            </w:r>
            <w:r>
              <w:rPr>
                <w:rFonts w:hint="eastAsia"/>
                <w:sz w:val="21"/>
                <w:szCs w:val="21"/>
                <w:lang w:val="zh-CN"/>
              </w:rPr>
              <w:t>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lang w:val="zh-CN"/>
              </w:rPr>
            </w:pPr>
            <w:r>
              <w:rPr>
                <w:rFonts w:hint="eastAsia"/>
                <w:sz w:val="21"/>
                <w:szCs w:val="21"/>
                <w:lang w:val="zh-CN"/>
              </w:rPr>
              <w:t>对供应商所提供样品进行评价：样品尺寸符合要求、整体外观的色彩搭配合理色泽自然、外观目测无瑕庛、款式设计新颖、布帘收放流畅、遮光性好、产品手感舒适柔软平整、折褶均匀、走线均匀整齐、加工精细得</w:t>
            </w:r>
            <w:r>
              <w:rPr>
                <w:rFonts w:hint="eastAsia"/>
                <w:sz w:val="21"/>
                <w:szCs w:val="21"/>
              </w:rPr>
              <w:t>20</w:t>
            </w:r>
            <w:r>
              <w:rPr>
                <w:rFonts w:hint="eastAsia"/>
                <w:sz w:val="21"/>
                <w:szCs w:val="21"/>
                <w:lang w:val="zh-CN"/>
              </w:rPr>
              <w:t>分，每有一项不满足扣</w:t>
            </w:r>
            <w:r>
              <w:rPr>
                <w:rFonts w:hint="eastAsia"/>
                <w:sz w:val="21"/>
                <w:szCs w:val="21"/>
              </w:rPr>
              <w:t>2</w:t>
            </w:r>
            <w:r>
              <w:rPr>
                <w:rFonts w:hint="eastAsia"/>
                <w:sz w:val="21"/>
                <w:szCs w:val="21"/>
                <w:lang w:val="zh-CN"/>
              </w:rPr>
              <w:t>分，本项分值扣完为止。</w:t>
            </w:r>
          </w:p>
          <w:p>
            <w:pPr>
              <w:wordWrap w:val="0"/>
              <w:spacing w:line="360" w:lineRule="auto"/>
              <w:ind w:left="0" w:leftChars="0" w:firstLine="0" w:firstLineChars="0"/>
              <w:jc w:val="left"/>
              <w:rPr>
                <w:rFonts w:hint="eastAsia"/>
                <w:sz w:val="21"/>
                <w:szCs w:val="21"/>
                <w:lang w:val="zh-CN"/>
              </w:rPr>
            </w:pPr>
            <w:r>
              <w:rPr>
                <w:rFonts w:hint="eastAsia"/>
                <w:sz w:val="21"/>
                <w:szCs w:val="21"/>
                <w:lang w:val="zh-CN"/>
              </w:rPr>
              <w:t>说明：未送、少送、错送或未按比选文件提供样品的，或样品有重大安全隐患，本项不得分。</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left"/>
              <w:rPr>
                <w:rFonts w:hint="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4</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实施方案20</w:t>
            </w:r>
            <w:r>
              <w:rPr>
                <w:rFonts w:hint="eastAsia"/>
                <w:sz w:val="21"/>
                <w:szCs w:val="21"/>
                <w:lang w:val="zh-CN"/>
              </w:rPr>
              <w:t>%</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20分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lang w:val="zh-CN"/>
              </w:rPr>
            </w:pPr>
            <w:r>
              <w:rPr>
                <w:rFonts w:hint="eastAsia"/>
                <w:sz w:val="21"/>
                <w:szCs w:val="21"/>
                <w:lang w:val="en-US" w:eastAsia="zh-CN"/>
              </w:rPr>
              <w:t>1、</w:t>
            </w:r>
            <w:r>
              <w:rPr>
                <w:rFonts w:hint="eastAsia"/>
                <w:sz w:val="21"/>
                <w:szCs w:val="21"/>
                <w:lang w:val="zh-CN"/>
              </w:rPr>
              <w:t>根据供应商针对本项目提供的实施方案进行评价：</w:t>
            </w:r>
          </w:p>
          <w:p>
            <w:pPr>
              <w:wordWrap w:val="0"/>
              <w:spacing w:line="360" w:lineRule="auto"/>
              <w:ind w:left="0" w:leftChars="0" w:firstLine="0" w:firstLineChars="0"/>
              <w:jc w:val="left"/>
              <w:rPr>
                <w:rFonts w:hint="eastAsia"/>
                <w:sz w:val="21"/>
                <w:szCs w:val="21"/>
              </w:rPr>
            </w:pPr>
            <w:r>
              <w:rPr>
                <w:rFonts w:hint="eastAsia"/>
                <w:sz w:val="21"/>
                <w:szCs w:val="21"/>
                <w:lang w:val="zh-CN"/>
              </w:rPr>
              <w:t>对产品的生产工艺流程进行描述：包括但不限于产品</w:t>
            </w:r>
            <w:r>
              <w:rPr>
                <w:rFonts w:hint="eastAsia"/>
                <w:sz w:val="21"/>
                <w:szCs w:val="21"/>
              </w:rPr>
              <w:t>生产组织方案</w:t>
            </w:r>
            <w:r>
              <w:rPr>
                <w:rFonts w:hint="eastAsia"/>
                <w:sz w:val="21"/>
                <w:szCs w:val="21"/>
                <w:lang w:val="zh-CN"/>
              </w:rPr>
              <w:t>、生产周期、</w:t>
            </w:r>
            <w:r>
              <w:rPr>
                <w:rFonts w:hint="eastAsia"/>
                <w:sz w:val="21"/>
                <w:szCs w:val="21"/>
              </w:rPr>
              <w:t>质量保证措施</w:t>
            </w:r>
            <w:r>
              <w:rPr>
                <w:rFonts w:hint="eastAsia"/>
                <w:sz w:val="21"/>
                <w:szCs w:val="21"/>
                <w:lang w:val="zh-CN"/>
              </w:rPr>
              <w:t>、产品</w:t>
            </w:r>
            <w:r>
              <w:rPr>
                <w:rFonts w:hint="eastAsia"/>
                <w:sz w:val="21"/>
                <w:szCs w:val="21"/>
              </w:rPr>
              <w:t>出厂前例行试验、工期保证措施、验收方案、</w:t>
            </w:r>
            <w:r>
              <w:rPr>
                <w:rFonts w:hint="eastAsia"/>
                <w:sz w:val="21"/>
                <w:szCs w:val="21"/>
                <w:lang w:val="zh-CN"/>
              </w:rPr>
              <w:t>成品保护、机械设备等内容，内容完整合理有针对性得</w:t>
            </w:r>
            <w:r>
              <w:rPr>
                <w:rFonts w:hint="eastAsia"/>
                <w:sz w:val="21"/>
                <w:szCs w:val="21"/>
              </w:rPr>
              <w:t>8分；每有一项内容未描述或与项目实际需求不符合扣1分；本项分值扣完为止。</w:t>
            </w:r>
          </w:p>
          <w:p>
            <w:pPr>
              <w:wordWrap w:val="0"/>
              <w:spacing w:line="360" w:lineRule="auto"/>
              <w:ind w:left="0" w:leftChars="0" w:firstLine="0" w:firstLineChars="0"/>
              <w:jc w:val="left"/>
              <w:rPr>
                <w:rFonts w:hint="eastAsia"/>
                <w:sz w:val="21"/>
                <w:szCs w:val="21"/>
                <w:lang w:val="zh-CN"/>
              </w:rPr>
            </w:pPr>
            <w:r>
              <w:rPr>
                <w:rFonts w:hint="eastAsia"/>
                <w:sz w:val="21"/>
                <w:szCs w:val="21"/>
              </w:rPr>
              <w:t>2、</w:t>
            </w:r>
            <w:r>
              <w:rPr>
                <w:rFonts w:hint="eastAsia"/>
                <w:sz w:val="21"/>
                <w:szCs w:val="21"/>
                <w:lang w:val="zh-CN"/>
              </w:rPr>
              <w:t>对产品的安装流程进行描述：包括但不限于产品运输</w:t>
            </w:r>
            <w:r>
              <w:rPr>
                <w:rFonts w:hint="eastAsia"/>
                <w:sz w:val="21"/>
                <w:szCs w:val="21"/>
              </w:rPr>
              <w:t>方案</w:t>
            </w:r>
            <w:r>
              <w:rPr>
                <w:rFonts w:hint="eastAsia"/>
                <w:sz w:val="21"/>
                <w:szCs w:val="21"/>
                <w:lang w:val="zh-CN"/>
              </w:rPr>
              <w:t>、安装人员、安装工艺、</w:t>
            </w:r>
            <w:r>
              <w:rPr>
                <w:rFonts w:hint="eastAsia"/>
                <w:sz w:val="21"/>
                <w:szCs w:val="21"/>
              </w:rPr>
              <w:t>产品安装时的技术支持</w:t>
            </w:r>
            <w:r>
              <w:rPr>
                <w:rFonts w:hint="eastAsia"/>
                <w:sz w:val="21"/>
                <w:szCs w:val="21"/>
                <w:lang w:val="zh-CN"/>
              </w:rPr>
              <w:t>等；内容完整合理有针对性得4</w:t>
            </w:r>
            <w:r>
              <w:rPr>
                <w:rFonts w:hint="eastAsia"/>
                <w:sz w:val="21"/>
                <w:szCs w:val="21"/>
              </w:rPr>
              <w:t>分；每有一项内容未描述或与项目实际需求不符合扣1分；本项分值扣完为止。</w:t>
            </w:r>
          </w:p>
          <w:p>
            <w:pPr>
              <w:wordWrap w:val="0"/>
              <w:spacing w:line="360" w:lineRule="auto"/>
              <w:ind w:left="0" w:leftChars="0" w:firstLine="0" w:firstLineChars="0"/>
              <w:jc w:val="left"/>
              <w:rPr>
                <w:rFonts w:hint="eastAsia"/>
                <w:sz w:val="21"/>
                <w:szCs w:val="21"/>
              </w:rPr>
            </w:pPr>
            <w:r>
              <w:rPr>
                <w:rFonts w:hint="eastAsia"/>
                <w:sz w:val="21"/>
                <w:szCs w:val="21"/>
              </w:rPr>
              <w:t>3、对产品的售后服务进行描述：包括但不限于质保期、质保内容、售后服务人员配置、24小时售后服务热线、备品备件情况、售后服务网点、产品的使用培训、产品使用过程中的技术支持等；每项内容完整且与本项目实际需求匹配得8分；每有一项内容缺失或脱离需求实际的扣1分，本项分值扣完为止。</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left"/>
              <w:rPr>
                <w:rFonts w:hint="eastAsia"/>
                <w:sz w:val="21"/>
                <w:szCs w:val="21"/>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lang w:val="zh-CN"/>
              </w:rPr>
              <w:t>5</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履约能力</w:t>
            </w:r>
          </w:p>
          <w:p>
            <w:pPr>
              <w:spacing w:line="360" w:lineRule="auto"/>
              <w:ind w:left="0" w:leftChars="0" w:firstLine="0" w:firstLineChars="0"/>
              <w:jc w:val="both"/>
              <w:rPr>
                <w:rFonts w:hint="eastAsia"/>
                <w:sz w:val="21"/>
                <w:szCs w:val="21"/>
                <w:lang w:val="zh-CN"/>
              </w:rPr>
            </w:pPr>
            <w:r>
              <w:rPr>
                <w:rFonts w:hint="eastAsia"/>
                <w:sz w:val="21"/>
                <w:szCs w:val="21"/>
              </w:rPr>
              <w:t>6</w:t>
            </w:r>
            <w:r>
              <w:rPr>
                <w:rFonts w:hint="eastAsia"/>
                <w:sz w:val="21"/>
                <w:szCs w:val="21"/>
                <w:lang w:val="zh-CN"/>
              </w:rPr>
              <w:t>%</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6</w:t>
            </w:r>
            <w:r>
              <w:rPr>
                <w:rFonts w:hint="eastAsia"/>
                <w:sz w:val="21"/>
                <w:szCs w:val="21"/>
                <w:lang w:val="zh-CN"/>
              </w:rPr>
              <w:t>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lang w:val="zh-CN"/>
              </w:rPr>
            </w:pPr>
            <w:r>
              <w:rPr>
                <w:rFonts w:hint="eastAsia"/>
                <w:sz w:val="21"/>
                <w:szCs w:val="21"/>
                <w:lang w:val="en-US" w:eastAsia="zh-CN"/>
              </w:rPr>
              <w:t>1</w:t>
            </w:r>
            <w:r>
              <w:rPr>
                <w:rFonts w:hint="eastAsia"/>
                <w:sz w:val="21"/>
                <w:szCs w:val="21"/>
                <w:lang w:val="zh-CN"/>
              </w:rPr>
              <w:t>、</w:t>
            </w:r>
            <w:r>
              <w:rPr>
                <w:rFonts w:hint="eastAsia"/>
                <w:sz w:val="21"/>
                <w:szCs w:val="21"/>
              </w:rPr>
              <w:t>投标人2018年至今具有本项目类似产品销售业绩，每提供一份得0.5分，最多得2分。</w:t>
            </w:r>
            <w:r>
              <w:rPr>
                <w:rFonts w:hint="eastAsia"/>
                <w:sz w:val="21"/>
                <w:szCs w:val="21"/>
                <w:lang w:val="zh-CN"/>
              </w:rPr>
              <w:t>（提供中标通知书、网络公告截图、合同及验收报告复印件）</w:t>
            </w:r>
          </w:p>
          <w:p>
            <w:pPr>
              <w:wordWrap w:val="0"/>
              <w:spacing w:line="360" w:lineRule="auto"/>
              <w:ind w:left="0" w:leftChars="0" w:firstLine="0" w:firstLineChars="0"/>
              <w:jc w:val="left"/>
              <w:rPr>
                <w:rFonts w:hint="eastAsia"/>
                <w:sz w:val="21"/>
                <w:szCs w:val="21"/>
                <w:lang w:val="zh-CN"/>
              </w:rPr>
            </w:pPr>
            <w:r>
              <w:rPr>
                <w:rFonts w:hint="eastAsia"/>
                <w:sz w:val="21"/>
                <w:szCs w:val="21"/>
                <w:lang w:val="zh-CN"/>
              </w:rPr>
              <w:t>2、投标人具有有效的ISO9001、ISO14001、OHSAS18001三项认证证书得</w:t>
            </w:r>
            <w:r>
              <w:rPr>
                <w:rFonts w:hint="eastAsia"/>
                <w:sz w:val="21"/>
                <w:szCs w:val="21"/>
              </w:rPr>
              <w:t>3</w:t>
            </w:r>
            <w:r>
              <w:rPr>
                <w:rFonts w:hint="eastAsia"/>
                <w:sz w:val="21"/>
                <w:szCs w:val="21"/>
                <w:lang w:val="zh-CN"/>
              </w:rPr>
              <w:t>分，少提供一个均不得分；（提供在有效期内的证书复印件）</w:t>
            </w:r>
          </w:p>
          <w:p>
            <w:pPr>
              <w:wordWrap w:val="0"/>
              <w:spacing w:line="360" w:lineRule="auto"/>
              <w:ind w:left="0" w:leftChars="0" w:firstLine="0" w:firstLineChars="0"/>
              <w:jc w:val="left"/>
              <w:rPr>
                <w:rFonts w:hint="eastAsia"/>
                <w:sz w:val="21"/>
                <w:szCs w:val="21"/>
              </w:rPr>
            </w:pPr>
            <w:r>
              <w:rPr>
                <w:rFonts w:hint="eastAsia"/>
                <w:sz w:val="21"/>
                <w:szCs w:val="21"/>
                <w:lang w:val="zh-CN"/>
              </w:rPr>
              <w:t>3、投标人具有AAA信用等级证书及五星售后服务证书得</w:t>
            </w:r>
            <w:r>
              <w:rPr>
                <w:rFonts w:hint="eastAsia"/>
                <w:sz w:val="21"/>
                <w:szCs w:val="21"/>
              </w:rPr>
              <w:t>1</w:t>
            </w:r>
            <w:r>
              <w:rPr>
                <w:rFonts w:hint="eastAsia"/>
                <w:sz w:val="21"/>
                <w:szCs w:val="21"/>
                <w:lang w:val="zh-CN"/>
              </w:rPr>
              <w:t>分。（提供在有限期内的证书复印件）</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wordWrap w:val="0"/>
              <w:spacing w:line="360" w:lineRule="auto"/>
              <w:jc w:val="left"/>
              <w:rPr>
                <w:rFonts w:hint="eastAsia"/>
                <w:sz w:val="21"/>
                <w:szCs w:val="21"/>
                <w:lang w:val="zh-CN"/>
              </w:rPr>
            </w:pPr>
          </w:p>
          <w:p>
            <w:pPr>
              <w:wordWrap w:val="0"/>
              <w:spacing w:line="360" w:lineRule="auto"/>
              <w:jc w:val="left"/>
              <w:rPr>
                <w:rFonts w:hint="eastAsia"/>
                <w:sz w:val="21"/>
                <w:szCs w:val="21"/>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rPr>
            </w:pPr>
            <w:r>
              <w:rPr>
                <w:rFonts w:hint="eastAsia"/>
                <w:sz w:val="21"/>
                <w:szCs w:val="21"/>
              </w:rPr>
              <w:t>增值服务</w:t>
            </w:r>
          </w:p>
          <w:p>
            <w:pPr>
              <w:spacing w:line="360" w:lineRule="auto"/>
              <w:ind w:left="0" w:leftChars="0" w:firstLine="0" w:firstLineChars="0"/>
              <w:jc w:val="both"/>
              <w:rPr>
                <w:sz w:val="21"/>
                <w:szCs w:val="21"/>
              </w:rPr>
            </w:pPr>
            <w:r>
              <w:rPr>
                <w:rFonts w:hint="eastAsia"/>
                <w:sz w:val="21"/>
                <w:szCs w:val="21"/>
              </w:rPr>
              <w:t>4%</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sz w:val="21"/>
                <w:szCs w:val="21"/>
              </w:rPr>
            </w:pPr>
            <w:r>
              <w:rPr>
                <w:rFonts w:hint="eastAsia"/>
                <w:sz w:val="21"/>
                <w:szCs w:val="21"/>
              </w:rPr>
              <w:t>4分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rPr>
            </w:pPr>
            <w:r>
              <w:rPr>
                <w:rFonts w:hint="eastAsia"/>
                <w:sz w:val="21"/>
                <w:szCs w:val="21"/>
              </w:rPr>
              <w:t>供应商2018年至今具有本项目类似产品销售业绩完工后具有合格的空气环保检测报告，每提供全一份得0.5分，最多得4分。</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wordWrap w:val="0"/>
              <w:spacing w:line="360" w:lineRule="auto"/>
              <w:jc w:val="left"/>
              <w:rPr>
                <w:rFonts w:hint="eastAsia"/>
                <w:sz w:val="21"/>
                <w:szCs w:val="21"/>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769" w:type="dxa"/>
            <w:tcBorders>
              <w:top w:val="single" w:color="auto" w:sz="4" w:space="0"/>
              <w:left w:val="doub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rPr>
            </w:pPr>
            <w:r>
              <w:rPr>
                <w:rFonts w:hint="eastAsia"/>
                <w:sz w:val="21"/>
                <w:szCs w:val="21"/>
              </w:rPr>
              <w:t>7</w:t>
            </w:r>
          </w:p>
        </w:tc>
        <w:tc>
          <w:tcPr>
            <w:tcW w:w="1200"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lang w:val="zh-CN"/>
              </w:rPr>
              <w:t>响应文件规范性</w:t>
            </w:r>
            <w:r>
              <w:rPr>
                <w:rFonts w:hint="eastAsia"/>
                <w:sz w:val="21"/>
                <w:szCs w:val="21"/>
              </w:rPr>
              <w:t>2</w:t>
            </w:r>
            <w:r>
              <w:rPr>
                <w:rFonts w:hint="eastAsia"/>
                <w:sz w:val="21"/>
                <w:szCs w:val="21"/>
                <w:lang w:val="zh-CN"/>
              </w:rPr>
              <w:t>%</w:t>
            </w:r>
          </w:p>
        </w:tc>
        <w:tc>
          <w:tcPr>
            <w:tcW w:w="935"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spacing w:line="360" w:lineRule="auto"/>
              <w:ind w:left="0" w:leftChars="0" w:firstLine="0" w:firstLineChars="0"/>
              <w:jc w:val="both"/>
              <w:rPr>
                <w:rFonts w:hint="eastAsia"/>
                <w:sz w:val="21"/>
                <w:szCs w:val="21"/>
                <w:lang w:val="zh-CN"/>
              </w:rPr>
            </w:pPr>
            <w:r>
              <w:rPr>
                <w:rFonts w:hint="eastAsia"/>
                <w:sz w:val="21"/>
                <w:szCs w:val="21"/>
              </w:rPr>
              <w:t>2</w:t>
            </w:r>
            <w:r>
              <w:rPr>
                <w:rFonts w:hint="eastAsia"/>
                <w:sz w:val="21"/>
                <w:szCs w:val="21"/>
                <w:lang w:val="zh-CN"/>
              </w:rPr>
              <w:t>分</w:t>
            </w:r>
          </w:p>
        </w:tc>
        <w:tc>
          <w:tcPr>
            <w:tcW w:w="5307" w:type="dxa"/>
            <w:tcBorders>
              <w:top w:val="single" w:color="auto" w:sz="4" w:space="0"/>
              <w:left w:val="single" w:color="auto" w:sz="4" w:space="0"/>
              <w:bottom w:val="single" w:color="auto" w:sz="4" w:space="0"/>
              <w:right w:val="single" w:color="auto" w:sz="4" w:space="0"/>
            </w:tcBorders>
            <w:noWrap w:val="0"/>
            <w:tcMar>
              <w:top w:w="57" w:type="dxa"/>
              <w:left w:w="108" w:type="dxa"/>
              <w:bottom w:w="0" w:type="dxa"/>
              <w:right w:w="108" w:type="dxa"/>
            </w:tcMar>
            <w:vAlign w:val="center"/>
          </w:tcPr>
          <w:p>
            <w:pPr>
              <w:wordWrap w:val="0"/>
              <w:spacing w:line="360" w:lineRule="auto"/>
              <w:ind w:left="0" w:leftChars="0" w:firstLine="0" w:firstLineChars="0"/>
              <w:jc w:val="left"/>
              <w:rPr>
                <w:rFonts w:hint="eastAsia"/>
                <w:sz w:val="21"/>
                <w:szCs w:val="21"/>
                <w:lang w:val="zh-CN"/>
              </w:rPr>
            </w:pPr>
            <w:r>
              <w:rPr>
                <w:rFonts w:hint="eastAsia"/>
                <w:sz w:val="21"/>
                <w:szCs w:val="21"/>
                <w:lang w:val="zh-CN"/>
              </w:rPr>
              <w:t>响应文件制作规范，没有细微偏差情形的得</w:t>
            </w:r>
            <w:r>
              <w:rPr>
                <w:rFonts w:hint="eastAsia"/>
                <w:sz w:val="21"/>
                <w:szCs w:val="21"/>
              </w:rPr>
              <w:t>1</w:t>
            </w:r>
            <w:r>
              <w:rPr>
                <w:rFonts w:hint="eastAsia"/>
                <w:sz w:val="21"/>
                <w:szCs w:val="21"/>
                <w:lang w:val="zh-CN"/>
              </w:rPr>
              <w:t>分；有一项细微偏差扣0.5分，直至该项分值扣完为止。</w:t>
            </w:r>
          </w:p>
        </w:tc>
        <w:tc>
          <w:tcPr>
            <w:tcW w:w="1485" w:type="dxa"/>
            <w:tcBorders>
              <w:top w:val="single" w:color="auto" w:sz="4" w:space="0"/>
              <w:left w:val="single" w:color="auto" w:sz="4" w:space="0"/>
              <w:bottom w:val="single" w:color="auto" w:sz="4" w:space="0"/>
              <w:right w:val="double" w:color="auto" w:sz="4" w:space="0"/>
            </w:tcBorders>
            <w:noWrap w:val="0"/>
            <w:tcMar>
              <w:top w:w="57" w:type="dxa"/>
              <w:left w:w="108" w:type="dxa"/>
              <w:bottom w:w="0" w:type="dxa"/>
              <w:right w:w="108" w:type="dxa"/>
            </w:tcMar>
            <w:vAlign w:val="center"/>
          </w:tcPr>
          <w:p>
            <w:pPr>
              <w:spacing w:line="360" w:lineRule="auto"/>
              <w:jc w:val="left"/>
              <w:rPr>
                <w:rFonts w:hint="eastAsia"/>
                <w:sz w:val="21"/>
                <w:szCs w:val="21"/>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85" w:type="dxa"/>
            <w:bottom w:w="0" w:type="dxa"/>
            <w:right w:w="85" w:type="dxa"/>
          </w:tblCellMar>
        </w:tblPrEx>
        <w:trPr>
          <w:trHeight w:val="850" w:hRule="atLeast"/>
          <w:jc w:val="center"/>
        </w:trPr>
        <w:tc>
          <w:tcPr>
            <w:tcW w:w="1969" w:type="dxa"/>
            <w:gridSpan w:val="2"/>
            <w:tcBorders>
              <w:top w:val="single" w:color="auto" w:sz="4" w:space="0"/>
              <w:left w:val="double" w:color="auto" w:sz="4" w:space="0"/>
              <w:bottom w:val="double" w:color="auto" w:sz="4" w:space="0"/>
              <w:right w:val="single" w:color="auto" w:sz="4" w:space="0"/>
            </w:tcBorders>
            <w:noWrap w:val="0"/>
            <w:tcMar>
              <w:top w:w="57" w:type="dxa"/>
              <w:left w:w="108" w:type="dxa"/>
              <w:bottom w:w="0" w:type="dxa"/>
              <w:right w:w="108" w:type="dxa"/>
            </w:tcMar>
            <w:vAlign w:val="center"/>
          </w:tcPr>
          <w:p>
            <w:pPr>
              <w:spacing w:line="360" w:lineRule="auto"/>
              <w:jc w:val="center"/>
              <w:rPr>
                <w:rFonts w:hint="eastAsia"/>
                <w:sz w:val="21"/>
                <w:szCs w:val="21"/>
                <w:lang w:val="zh-CN"/>
              </w:rPr>
            </w:pPr>
            <w:r>
              <w:rPr>
                <w:rFonts w:hint="eastAsia"/>
                <w:sz w:val="21"/>
                <w:szCs w:val="21"/>
              </w:rPr>
              <w:t>合  计</w:t>
            </w:r>
          </w:p>
        </w:tc>
        <w:tc>
          <w:tcPr>
            <w:tcW w:w="7727" w:type="dxa"/>
            <w:gridSpan w:val="3"/>
            <w:tcBorders>
              <w:top w:val="single" w:color="auto" w:sz="4" w:space="0"/>
              <w:left w:val="single" w:color="auto" w:sz="4" w:space="0"/>
              <w:bottom w:val="double" w:color="auto" w:sz="4" w:space="0"/>
              <w:right w:val="double" w:color="auto" w:sz="4" w:space="0"/>
            </w:tcBorders>
            <w:noWrap w:val="0"/>
            <w:tcMar>
              <w:top w:w="57" w:type="dxa"/>
              <w:left w:w="108" w:type="dxa"/>
              <w:bottom w:w="0" w:type="dxa"/>
              <w:right w:w="108" w:type="dxa"/>
            </w:tcMar>
            <w:vAlign w:val="center"/>
          </w:tcPr>
          <w:p>
            <w:pPr>
              <w:spacing w:line="360" w:lineRule="auto"/>
              <w:ind w:left="0" w:leftChars="0" w:firstLine="0" w:firstLineChars="0"/>
              <w:jc w:val="left"/>
              <w:rPr>
                <w:rFonts w:hint="eastAsia"/>
                <w:sz w:val="21"/>
                <w:szCs w:val="21"/>
                <w:lang w:val="zh-CN"/>
              </w:rPr>
            </w:pPr>
            <w:r>
              <w:rPr>
                <w:rFonts w:hint="eastAsia"/>
                <w:sz w:val="21"/>
                <w:szCs w:val="21"/>
              </w:rPr>
              <w:t>100分（说明：供应商失信行为记入诚信档案且在有效期内的扣5分/次予以惩戒，供应商失信行为惩戒实行无限制累加制，直到总分100分扣完为止）</w:t>
            </w:r>
          </w:p>
        </w:tc>
      </w:tr>
    </w:tbl>
    <w:p>
      <w:pPr>
        <w:ind w:firstLine="482"/>
        <w:rPr>
          <w:rFonts w:hint="eastAsia"/>
          <w:b/>
          <w:color w:val="auto"/>
          <w:szCs w:val="21"/>
        </w:rPr>
      </w:pPr>
    </w:p>
    <w:p>
      <w:pPr>
        <w:ind w:firstLine="482"/>
        <w:rPr>
          <w:rFonts w:hint="eastAsia"/>
          <w:b/>
          <w:color w:val="auto"/>
          <w:szCs w:val="21"/>
        </w:rPr>
      </w:pPr>
    </w:p>
    <w:p>
      <w:pPr>
        <w:pStyle w:val="35"/>
        <w:tabs>
          <w:tab w:val="left" w:pos="0"/>
        </w:tabs>
        <w:spacing w:line="360" w:lineRule="auto"/>
        <w:outlineLvl w:val="2"/>
        <w:rPr>
          <w:rFonts w:hAnsi="宋体"/>
          <w:b/>
          <w:color w:val="auto"/>
          <w:sz w:val="24"/>
          <w:szCs w:val="24"/>
          <w:lang w:val="zh-CN"/>
        </w:rPr>
      </w:pPr>
      <w:r>
        <w:rPr>
          <w:rFonts w:hAnsi="宋体"/>
          <w:b/>
          <w:color w:val="auto"/>
          <w:sz w:val="24"/>
          <w:szCs w:val="24"/>
          <w:lang w:val="zh-CN"/>
        </w:rPr>
        <w:t>1</w:t>
      </w:r>
      <w:r>
        <w:rPr>
          <w:rFonts w:hint="eastAsia" w:hAnsi="宋体"/>
          <w:b/>
          <w:color w:val="auto"/>
          <w:sz w:val="24"/>
          <w:szCs w:val="24"/>
          <w:lang w:val="zh-CN"/>
        </w:rPr>
        <w:t>.评审方法</w:t>
      </w:r>
      <w:bookmarkEnd w:id="123"/>
      <w:bookmarkEnd w:id="124"/>
    </w:p>
    <w:p>
      <w:pPr>
        <w:pStyle w:val="35"/>
        <w:spacing w:line="360" w:lineRule="auto"/>
        <w:ind w:firstLine="490" w:firstLineChars="200"/>
        <w:rPr>
          <w:rFonts w:hAnsi="宋体"/>
          <w:color w:val="auto"/>
          <w:sz w:val="24"/>
          <w:szCs w:val="24"/>
          <w:lang w:val="zh-CN"/>
        </w:rPr>
      </w:pPr>
      <w:r>
        <w:rPr>
          <w:rFonts w:hint="eastAsia" w:hAnsi="宋体"/>
          <w:color w:val="auto"/>
          <w:sz w:val="24"/>
          <w:szCs w:val="24"/>
          <w:lang w:val="zh-CN"/>
        </w:rPr>
        <w:t>本次评审采用综合评估法。评审委员会对通过初步评审的比选申请文件，按照评分标准进行打分，并按得分由高到低顺序推荐中选候选人。</w:t>
      </w:r>
    </w:p>
    <w:p>
      <w:pPr>
        <w:pStyle w:val="35"/>
        <w:spacing w:line="360" w:lineRule="auto"/>
        <w:ind w:firstLine="490" w:firstLineChars="200"/>
        <w:rPr>
          <w:rFonts w:hAnsi="宋体"/>
          <w:color w:val="auto"/>
          <w:sz w:val="24"/>
          <w:szCs w:val="24"/>
          <w:lang w:val="zh-CN"/>
        </w:rPr>
      </w:pPr>
      <w:r>
        <w:rPr>
          <w:rFonts w:hint="eastAsia" w:hAnsi="宋体"/>
          <w:color w:val="auto"/>
          <w:sz w:val="24"/>
          <w:szCs w:val="24"/>
          <w:lang w:val="zh-CN"/>
        </w:rPr>
        <w:t>评审委员会成员采用记名评审方式，任何改动处均须由该成员小签。</w:t>
      </w:r>
    </w:p>
    <w:p>
      <w:pPr>
        <w:pStyle w:val="35"/>
        <w:spacing w:line="360" w:lineRule="auto"/>
        <w:ind w:firstLine="490" w:firstLineChars="200"/>
        <w:rPr>
          <w:rFonts w:hAnsi="宋体"/>
          <w:color w:val="auto"/>
          <w:sz w:val="24"/>
          <w:szCs w:val="24"/>
          <w:lang w:val="zh-CN"/>
        </w:rPr>
      </w:pPr>
      <w:r>
        <w:rPr>
          <w:rFonts w:hint="eastAsia" w:hAnsi="宋体"/>
          <w:color w:val="auto"/>
          <w:sz w:val="24"/>
          <w:szCs w:val="24"/>
          <w:lang w:val="zh-CN"/>
        </w:rPr>
        <w:t>初审采用共同评审方式。</w:t>
      </w:r>
    </w:p>
    <w:p>
      <w:pPr>
        <w:pStyle w:val="35"/>
        <w:spacing w:line="360" w:lineRule="auto"/>
        <w:ind w:firstLine="490" w:firstLineChars="200"/>
        <w:rPr>
          <w:rFonts w:hAnsi="宋体"/>
          <w:color w:val="auto"/>
          <w:sz w:val="24"/>
          <w:szCs w:val="24"/>
          <w:lang w:val="zh-CN"/>
        </w:rPr>
      </w:pPr>
      <w:r>
        <w:rPr>
          <w:rFonts w:hint="eastAsia" w:hAnsi="宋体"/>
          <w:color w:val="auto"/>
          <w:sz w:val="24"/>
          <w:szCs w:val="24"/>
          <w:lang w:val="zh-CN"/>
        </w:rPr>
        <w:t>详审采用分别评审方式。</w:t>
      </w:r>
    </w:p>
    <w:p>
      <w:pPr>
        <w:pStyle w:val="35"/>
        <w:tabs>
          <w:tab w:val="left" w:pos="0"/>
        </w:tabs>
        <w:spacing w:line="360" w:lineRule="auto"/>
        <w:ind w:right="4"/>
        <w:outlineLvl w:val="2"/>
        <w:rPr>
          <w:rFonts w:hAnsi="宋体"/>
          <w:b/>
          <w:color w:val="auto"/>
          <w:sz w:val="24"/>
          <w:szCs w:val="24"/>
          <w:lang w:val="zh-CN"/>
        </w:rPr>
      </w:pPr>
      <w:bookmarkStart w:id="127" w:name="_Toc454834941"/>
      <w:bookmarkStart w:id="128" w:name="_Toc500402952"/>
      <w:r>
        <w:rPr>
          <w:rFonts w:hAnsi="宋体"/>
          <w:b/>
          <w:color w:val="auto"/>
          <w:sz w:val="24"/>
          <w:szCs w:val="24"/>
          <w:lang w:val="zh-CN"/>
        </w:rPr>
        <w:t>2</w:t>
      </w:r>
      <w:r>
        <w:rPr>
          <w:rFonts w:hint="eastAsia" w:hAnsi="宋体"/>
          <w:b/>
          <w:color w:val="auto"/>
          <w:sz w:val="24"/>
          <w:szCs w:val="24"/>
          <w:lang w:val="zh-CN"/>
        </w:rPr>
        <w:t>.评审标准</w:t>
      </w:r>
      <w:bookmarkEnd w:id="127"/>
      <w:bookmarkEnd w:id="128"/>
    </w:p>
    <w:p>
      <w:pPr>
        <w:pStyle w:val="35"/>
        <w:numPr>
          <w:ilvl w:val="1"/>
          <w:numId w:val="0"/>
        </w:numPr>
        <w:tabs>
          <w:tab w:val="left" w:pos="284"/>
        </w:tabs>
        <w:spacing w:line="360" w:lineRule="auto"/>
        <w:ind w:right="4"/>
        <w:outlineLvl w:val="3"/>
        <w:rPr>
          <w:rFonts w:hAnsi="宋体"/>
          <w:b/>
          <w:color w:val="auto"/>
          <w:sz w:val="24"/>
          <w:szCs w:val="24"/>
          <w:lang w:val="zh-CN"/>
        </w:rPr>
      </w:pPr>
      <w:bookmarkStart w:id="129" w:name="_Toc500402953"/>
      <w:r>
        <w:rPr>
          <w:rFonts w:hAnsi="宋体"/>
          <w:b/>
          <w:color w:val="auto"/>
          <w:sz w:val="24"/>
          <w:szCs w:val="24"/>
          <w:lang w:val="zh-CN"/>
        </w:rPr>
        <w:t>2.1</w:t>
      </w:r>
      <w:r>
        <w:rPr>
          <w:rFonts w:hint="eastAsia" w:hAnsi="宋体"/>
          <w:b/>
          <w:color w:val="auto"/>
          <w:sz w:val="24"/>
          <w:szCs w:val="24"/>
          <w:lang w:val="zh-CN"/>
        </w:rPr>
        <w:t>初步评审标准</w:t>
      </w:r>
      <w:bookmarkEnd w:id="129"/>
    </w:p>
    <w:p>
      <w:pPr>
        <w:pStyle w:val="35"/>
        <w:spacing w:line="360" w:lineRule="auto"/>
        <w:ind w:right="6" w:firstLine="490" w:firstLineChars="200"/>
        <w:rPr>
          <w:rFonts w:hAnsi="宋体"/>
          <w:color w:val="auto"/>
          <w:sz w:val="24"/>
          <w:szCs w:val="24"/>
          <w:lang w:val="zh-CN"/>
        </w:rPr>
      </w:pPr>
      <w:r>
        <w:rPr>
          <w:rFonts w:hint="eastAsia" w:hAnsi="宋体"/>
          <w:color w:val="auto"/>
          <w:sz w:val="24"/>
          <w:szCs w:val="24"/>
          <w:lang w:val="zh-CN"/>
        </w:rPr>
        <w:t>在初审之前，评审委员会应认真研究比选文件，了解和熟悉比选的目标、范围和性质，比选文件的主要要求、标准和条款，评审标准、方法和评审过程中需考虑的相关因素。</w:t>
      </w:r>
    </w:p>
    <w:p>
      <w:pPr>
        <w:pStyle w:val="35"/>
        <w:numPr>
          <w:ilvl w:val="2"/>
          <w:numId w:val="0"/>
        </w:numPr>
        <w:tabs>
          <w:tab w:val="left" w:pos="227"/>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形式评审标准：见评审办法前附表。</w:t>
      </w:r>
    </w:p>
    <w:p>
      <w:pPr>
        <w:pStyle w:val="35"/>
        <w:numPr>
          <w:ilvl w:val="2"/>
          <w:numId w:val="0"/>
        </w:numPr>
        <w:tabs>
          <w:tab w:val="left" w:pos="227"/>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资格评审标准：见评审办法前附表。</w:t>
      </w:r>
    </w:p>
    <w:p>
      <w:pPr>
        <w:pStyle w:val="35"/>
        <w:numPr>
          <w:ilvl w:val="2"/>
          <w:numId w:val="0"/>
        </w:numPr>
        <w:tabs>
          <w:tab w:val="left" w:pos="227"/>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响应性评审标准：见评审办法前附表。</w:t>
      </w:r>
    </w:p>
    <w:p>
      <w:pPr>
        <w:pStyle w:val="35"/>
        <w:numPr>
          <w:ilvl w:val="2"/>
          <w:numId w:val="0"/>
        </w:numPr>
        <w:tabs>
          <w:tab w:val="left" w:pos="227"/>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比选申请报价有算术错误的，评审委员会按以下原则对比选申请报价进行修正，修正的价格经比选申请人书面确认后具有约束力。比选申请人不接受修正价格的，其比选申请作否决处理。</w:t>
      </w:r>
    </w:p>
    <w:p>
      <w:pPr>
        <w:pStyle w:val="35"/>
        <w:spacing w:line="360" w:lineRule="auto"/>
        <w:ind w:right="4" w:firstLine="490" w:firstLineChars="200"/>
        <w:rPr>
          <w:rFonts w:hAnsi="宋体"/>
          <w:color w:val="auto"/>
          <w:sz w:val="24"/>
          <w:szCs w:val="24"/>
          <w:lang w:val="zh-CN"/>
        </w:rPr>
      </w:pPr>
      <w:r>
        <w:rPr>
          <w:rFonts w:hint="eastAsia" w:hAnsi="宋体"/>
          <w:color w:val="auto"/>
          <w:sz w:val="24"/>
          <w:szCs w:val="24"/>
          <w:lang w:val="zh-CN"/>
        </w:rPr>
        <w:t>（1）比选申请文件中的大写金额与小写金额不一致的，以大写金额为准；</w:t>
      </w:r>
    </w:p>
    <w:p>
      <w:pPr>
        <w:pStyle w:val="35"/>
        <w:spacing w:line="360" w:lineRule="auto"/>
        <w:ind w:right="4" w:firstLine="490" w:firstLineChars="200"/>
        <w:rPr>
          <w:rFonts w:hAnsi="宋体"/>
          <w:color w:val="auto"/>
          <w:sz w:val="24"/>
          <w:szCs w:val="24"/>
          <w:lang w:val="zh-CN"/>
        </w:rPr>
      </w:pPr>
      <w:r>
        <w:rPr>
          <w:rFonts w:hint="eastAsia" w:hAnsi="宋体"/>
          <w:color w:val="auto"/>
          <w:sz w:val="24"/>
          <w:szCs w:val="24"/>
          <w:lang w:val="zh-CN"/>
        </w:rPr>
        <w:t>（</w:t>
      </w:r>
      <w:r>
        <w:rPr>
          <w:rFonts w:hAnsi="宋体"/>
          <w:color w:val="auto"/>
          <w:sz w:val="24"/>
          <w:szCs w:val="24"/>
          <w:lang w:val="zh-CN"/>
        </w:rPr>
        <w:t>2</w:t>
      </w:r>
      <w:r>
        <w:rPr>
          <w:rFonts w:hint="eastAsia" w:hAnsi="宋体"/>
          <w:color w:val="auto"/>
          <w:sz w:val="24"/>
          <w:szCs w:val="24"/>
          <w:lang w:val="zh-CN"/>
        </w:rPr>
        <w:t>）总价金额与依据单价计算出的结果不一致的，以单价金额为准修正总价，但单价金额小数点有明显错误的除外。</w:t>
      </w:r>
    </w:p>
    <w:p>
      <w:pPr>
        <w:pStyle w:val="35"/>
        <w:spacing w:line="360" w:lineRule="auto"/>
        <w:ind w:right="4" w:firstLine="490" w:firstLineChars="200"/>
        <w:rPr>
          <w:rFonts w:hAnsi="宋体"/>
          <w:color w:val="auto"/>
          <w:sz w:val="24"/>
          <w:szCs w:val="24"/>
          <w:lang w:val="zh-CN"/>
        </w:rPr>
      </w:pPr>
      <w:r>
        <w:rPr>
          <w:rFonts w:hint="eastAsia" w:hAnsi="宋体"/>
          <w:color w:val="auto"/>
          <w:sz w:val="24"/>
          <w:szCs w:val="24"/>
          <w:lang w:val="zh-CN"/>
        </w:rPr>
        <w:t>（</w:t>
      </w:r>
      <w:r>
        <w:rPr>
          <w:rFonts w:hAnsi="宋体"/>
          <w:color w:val="auto"/>
          <w:sz w:val="24"/>
          <w:szCs w:val="24"/>
          <w:lang w:val="zh-CN"/>
        </w:rPr>
        <w:t>3</w:t>
      </w:r>
      <w:r>
        <w:rPr>
          <w:rFonts w:hint="eastAsia" w:hAnsi="宋体"/>
          <w:color w:val="auto"/>
          <w:sz w:val="24"/>
          <w:szCs w:val="24"/>
          <w:lang w:val="zh-CN"/>
        </w:rPr>
        <w:t>）比选申请人同一种材料或设备出现价格不一致时，以价格低的为准。</w:t>
      </w:r>
    </w:p>
    <w:p>
      <w:pPr>
        <w:pStyle w:val="35"/>
        <w:tabs>
          <w:tab w:val="left" w:pos="227"/>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w:t>
      </w:r>
      <w:r>
        <w:rPr>
          <w:rFonts w:hAnsi="宋体"/>
          <w:color w:val="auto"/>
          <w:sz w:val="24"/>
          <w:szCs w:val="24"/>
          <w:lang w:val="zh-CN"/>
        </w:rPr>
        <w:t>4</w:t>
      </w:r>
      <w:r>
        <w:rPr>
          <w:rFonts w:hint="eastAsia" w:hAnsi="宋体"/>
          <w:color w:val="auto"/>
          <w:sz w:val="24"/>
          <w:szCs w:val="24"/>
          <w:lang w:val="zh-CN"/>
        </w:rPr>
        <w:t>）投标报价未按国家相关规定和招标文件要求进行报价时，将据实修正。</w:t>
      </w:r>
    </w:p>
    <w:p>
      <w:pPr>
        <w:pStyle w:val="35"/>
        <w:numPr>
          <w:ilvl w:val="1"/>
          <w:numId w:val="0"/>
        </w:numPr>
        <w:tabs>
          <w:tab w:val="left" w:pos="284"/>
        </w:tabs>
        <w:spacing w:line="360" w:lineRule="auto"/>
        <w:ind w:right="4"/>
        <w:outlineLvl w:val="3"/>
        <w:rPr>
          <w:rFonts w:hAnsi="宋体"/>
          <w:b/>
          <w:color w:val="auto"/>
          <w:sz w:val="24"/>
          <w:szCs w:val="24"/>
          <w:lang w:val="zh-CN"/>
        </w:rPr>
      </w:pPr>
      <w:bookmarkStart w:id="130" w:name="_Toc500402954"/>
      <w:r>
        <w:rPr>
          <w:rFonts w:hAnsi="宋体"/>
          <w:b/>
          <w:color w:val="auto"/>
          <w:sz w:val="24"/>
          <w:szCs w:val="24"/>
          <w:lang w:val="zh-CN"/>
        </w:rPr>
        <w:t>2.2</w:t>
      </w:r>
      <w:r>
        <w:rPr>
          <w:rFonts w:hint="eastAsia" w:hAnsi="宋体"/>
          <w:b/>
          <w:color w:val="auto"/>
          <w:sz w:val="24"/>
          <w:szCs w:val="24"/>
          <w:lang w:val="zh-CN"/>
        </w:rPr>
        <w:t>详细评审标准</w:t>
      </w:r>
      <w:bookmarkEnd w:id="130"/>
    </w:p>
    <w:p>
      <w:pPr>
        <w:pStyle w:val="35"/>
        <w:spacing w:line="360" w:lineRule="auto"/>
        <w:ind w:right="6" w:firstLine="490" w:firstLineChars="200"/>
        <w:rPr>
          <w:rFonts w:hAnsi="宋体"/>
          <w:color w:val="auto"/>
          <w:sz w:val="24"/>
          <w:szCs w:val="24"/>
          <w:lang w:val="zh-CN"/>
        </w:rPr>
      </w:pPr>
      <w:r>
        <w:rPr>
          <w:rFonts w:hint="eastAsia" w:hAnsi="宋体"/>
          <w:color w:val="auto"/>
          <w:sz w:val="24"/>
          <w:szCs w:val="24"/>
          <w:lang w:val="zh-CN"/>
        </w:rPr>
        <w:t>分值构成及评分标准</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1</w:t>
      </w:r>
      <w:r>
        <w:rPr>
          <w:rFonts w:hint="eastAsia" w:hAnsi="宋体"/>
          <w:color w:val="auto"/>
          <w:sz w:val="24"/>
          <w:szCs w:val="24"/>
          <w:lang w:val="zh-CN"/>
        </w:rPr>
        <w:t>）商务部分：见评审办法前附表。</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2</w:t>
      </w:r>
      <w:r>
        <w:rPr>
          <w:rFonts w:hint="eastAsia" w:hAnsi="宋体"/>
          <w:color w:val="auto"/>
          <w:sz w:val="24"/>
          <w:szCs w:val="24"/>
          <w:lang w:val="zh-CN"/>
        </w:rPr>
        <w:t>）技术部分：见评审办法前附表。</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3</w:t>
      </w:r>
      <w:r>
        <w:rPr>
          <w:rFonts w:hint="eastAsia" w:hAnsi="宋体"/>
          <w:color w:val="auto"/>
          <w:sz w:val="24"/>
          <w:szCs w:val="24"/>
          <w:lang w:val="zh-CN"/>
        </w:rPr>
        <w:t>）比选申请报价：见评审办法前附表；</w:t>
      </w:r>
    </w:p>
    <w:p>
      <w:pPr>
        <w:pStyle w:val="35"/>
        <w:tabs>
          <w:tab w:val="left" w:pos="0"/>
        </w:tabs>
        <w:spacing w:line="360" w:lineRule="auto"/>
        <w:ind w:right="4"/>
        <w:outlineLvl w:val="2"/>
        <w:rPr>
          <w:rFonts w:hAnsi="宋体"/>
          <w:b/>
          <w:color w:val="auto"/>
          <w:sz w:val="24"/>
          <w:szCs w:val="24"/>
          <w:lang w:val="zh-CN"/>
        </w:rPr>
      </w:pPr>
      <w:bookmarkStart w:id="131" w:name="_Toc500402955"/>
      <w:bookmarkStart w:id="132" w:name="_Toc454834942"/>
      <w:r>
        <w:rPr>
          <w:rFonts w:hAnsi="宋体"/>
          <w:b/>
          <w:color w:val="auto"/>
          <w:sz w:val="24"/>
          <w:szCs w:val="24"/>
          <w:lang w:val="zh-CN"/>
        </w:rPr>
        <w:t>3</w:t>
      </w:r>
      <w:r>
        <w:rPr>
          <w:rFonts w:hint="eastAsia" w:hAnsi="宋体"/>
          <w:b/>
          <w:color w:val="auto"/>
          <w:sz w:val="24"/>
          <w:szCs w:val="24"/>
          <w:lang w:val="zh-CN"/>
        </w:rPr>
        <w:t>.评审程序</w:t>
      </w:r>
      <w:bookmarkEnd w:id="131"/>
      <w:bookmarkEnd w:id="132"/>
    </w:p>
    <w:p>
      <w:pPr>
        <w:pStyle w:val="35"/>
        <w:spacing w:line="360" w:lineRule="auto"/>
        <w:ind w:right="6" w:firstLine="490" w:firstLineChars="200"/>
        <w:rPr>
          <w:rFonts w:hAnsi="宋体"/>
          <w:color w:val="auto"/>
          <w:sz w:val="24"/>
          <w:szCs w:val="24"/>
          <w:lang w:val="zh-CN"/>
        </w:rPr>
      </w:pPr>
      <w:r>
        <w:rPr>
          <w:rFonts w:hint="eastAsia" w:hAnsi="宋体"/>
          <w:color w:val="auto"/>
          <w:sz w:val="24"/>
          <w:szCs w:val="24"/>
          <w:lang w:val="zh-CN"/>
        </w:rPr>
        <w:t>只有通过上一环节评审的，才能进入下一环节评审。</w:t>
      </w:r>
    </w:p>
    <w:p>
      <w:pPr>
        <w:pStyle w:val="35"/>
        <w:tabs>
          <w:tab w:val="left" w:pos="227"/>
        </w:tabs>
        <w:spacing w:line="360" w:lineRule="auto"/>
        <w:ind w:right="6"/>
        <w:rPr>
          <w:rFonts w:hAnsi="宋体"/>
          <w:b/>
          <w:color w:val="auto"/>
          <w:sz w:val="24"/>
          <w:szCs w:val="24"/>
          <w:lang w:val="zh-CN"/>
        </w:rPr>
      </w:pPr>
      <w:bookmarkStart w:id="133" w:name="_Toc500402956"/>
      <w:r>
        <w:rPr>
          <w:rFonts w:hAnsi="宋体"/>
          <w:b/>
          <w:color w:val="auto"/>
          <w:sz w:val="24"/>
          <w:szCs w:val="24"/>
          <w:lang w:val="zh-CN"/>
        </w:rPr>
        <w:t>3.1</w:t>
      </w:r>
      <w:r>
        <w:rPr>
          <w:rFonts w:hint="eastAsia" w:hAnsi="宋体"/>
          <w:b/>
          <w:color w:val="auto"/>
          <w:sz w:val="24"/>
          <w:szCs w:val="24"/>
          <w:lang w:val="zh-CN"/>
        </w:rPr>
        <w:t>初步</w:t>
      </w:r>
      <w:bookmarkEnd w:id="133"/>
      <w:r>
        <w:rPr>
          <w:rFonts w:hint="eastAsia" w:hAnsi="宋体"/>
          <w:b/>
          <w:color w:val="auto"/>
          <w:sz w:val="24"/>
          <w:szCs w:val="24"/>
          <w:lang w:val="zh-CN"/>
        </w:rPr>
        <w:t>评审</w:t>
      </w:r>
    </w:p>
    <w:p>
      <w:pPr>
        <w:pStyle w:val="35"/>
        <w:numPr>
          <w:ilvl w:val="1"/>
          <w:numId w:val="0"/>
        </w:numPr>
        <w:tabs>
          <w:tab w:val="left" w:pos="420"/>
        </w:tabs>
        <w:spacing w:line="360" w:lineRule="auto"/>
        <w:ind w:right="4" w:firstLine="490" w:firstLineChars="200"/>
        <w:rPr>
          <w:rFonts w:hAnsi="宋体"/>
          <w:color w:val="auto"/>
          <w:sz w:val="24"/>
          <w:szCs w:val="24"/>
          <w:lang w:val="zh-CN"/>
        </w:rPr>
      </w:pPr>
      <w:r>
        <w:rPr>
          <w:rFonts w:hint="eastAsia" w:hAnsi="宋体"/>
          <w:color w:val="auto"/>
          <w:sz w:val="24"/>
          <w:szCs w:val="24"/>
          <w:lang w:val="zh-CN"/>
        </w:rPr>
        <w:t>评审委员会可以要求比选申请人提交规定的有关证明和证件的原件，以便核验。评审委员会依据规定的标准对比选申请文件进行初步评审。有一项不符合评审准的，作废标处理。</w:t>
      </w:r>
    </w:p>
    <w:p>
      <w:pPr>
        <w:pStyle w:val="35"/>
        <w:numPr>
          <w:ilvl w:val="1"/>
          <w:numId w:val="0"/>
        </w:numPr>
        <w:tabs>
          <w:tab w:val="left" w:pos="420"/>
        </w:tabs>
        <w:spacing w:line="360" w:lineRule="auto"/>
        <w:ind w:right="6" w:firstLine="490" w:firstLineChars="200"/>
        <w:rPr>
          <w:rFonts w:hAnsi="宋体"/>
          <w:color w:val="auto"/>
          <w:sz w:val="24"/>
          <w:szCs w:val="24"/>
          <w:lang w:val="zh-CN"/>
        </w:rPr>
      </w:pPr>
      <w:r>
        <w:rPr>
          <w:rFonts w:hint="eastAsia" w:hAnsi="宋体"/>
          <w:color w:val="auto"/>
          <w:sz w:val="24"/>
          <w:szCs w:val="24"/>
          <w:lang w:val="zh-CN"/>
        </w:rPr>
        <w:t>比选申请人有以下情形之一的，其比选申请文件作废标处理</w:t>
      </w:r>
      <w:r>
        <w:rPr>
          <w:rFonts w:hAnsi="宋体"/>
          <w:color w:val="auto"/>
          <w:sz w:val="24"/>
          <w:szCs w:val="24"/>
          <w:lang w:val="zh-CN"/>
        </w:rPr>
        <w:t xml:space="preserve">: </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1</w:t>
      </w:r>
      <w:r>
        <w:rPr>
          <w:rFonts w:hint="eastAsia" w:hAnsi="宋体"/>
          <w:color w:val="auto"/>
          <w:sz w:val="24"/>
          <w:szCs w:val="24"/>
          <w:lang w:val="zh-CN"/>
        </w:rPr>
        <w:t>）不符合比选申请人须知规定的实质性要求；</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2</w:t>
      </w:r>
      <w:r>
        <w:rPr>
          <w:rFonts w:hint="eastAsia" w:hAnsi="宋体"/>
          <w:color w:val="auto"/>
          <w:sz w:val="24"/>
          <w:szCs w:val="24"/>
          <w:lang w:val="zh-CN"/>
        </w:rPr>
        <w:t>）以他人名义参选、串通参选、弄虚作假或有其他违法行为的；</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3</w:t>
      </w:r>
      <w:r>
        <w:rPr>
          <w:rFonts w:hint="eastAsia" w:hAnsi="宋体"/>
          <w:color w:val="auto"/>
          <w:sz w:val="24"/>
          <w:szCs w:val="24"/>
          <w:lang w:val="zh-CN"/>
        </w:rPr>
        <w:t>）附有比选人不能接受的条件；</w:t>
      </w:r>
    </w:p>
    <w:p>
      <w:pPr>
        <w:pStyle w:val="35"/>
        <w:spacing w:line="360" w:lineRule="auto"/>
        <w:ind w:right="4" w:firstLine="490" w:firstLineChars="200"/>
        <w:rPr>
          <w:rFonts w:hAnsi="宋体"/>
          <w:color w:val="auto"/>
          <w:sz w:val="24"/>
          <w:szCs w:val="24"/>
          <w:lang w:val="zh-CN"/>
        </w:rPr>
      </w:pPr>
      <w:r>
        <w:rPr>
          <w:rFonts w:hAnsi="宋体"/>
          <w:color w:val="auto"/>
          <w:sz w:val="24"/>
          <w:szCs w:val="24"/>
          <w:lang w:val="zh-CN"/>
        </w:rPr>
        <w:t>4</w:t>
      </w:r>
      <w:r>
        <w:rPr>
          <w:rFonts w:hint="eastAsia" w:hAnsi="宋体"/>
          <w:color w:val="auto"/>
          <w:sz w:val="24"/>
          <w:szCs w:val="24"/>
          <w:lang w:val="zh-CN"/>
        </w:rPr>
        <w:t>）属比选申请人前附表限制参选的情形。</w:t>
      </w:r>
    </w:p>
    <w:p>
      <w:pPr>
        <w:pStyle w:val="35"/>
        <w:tabs>
          <w:tab w:val="left" w:pos="227"/>
        </w:tabs>
        <w:spacing w:line="360" w:lineRule="auto"/>
        <w:ind w:right="6"/>
        <w:rPr>
          <w:rFonts w:hAnsi="宋体"/>
          <w:b/>
          <w:color w:val="auto"/>
          <w:sz w:val="24"/>
          <w:szCs w:val="24"/>
          <w:lang w:val="zh-CN"/>
        </w:rPr>
      </w:pPr>
      <w:bookmarkStart w:id="134" w:name="_Toc500402957"/>
      <w:r>
        <w:rPr>
          <w:rFonts w:hAnsi="宋体"/>
          <w:b/>
          <w:color w:val="auto"/>
          <w:sz w:val="24"/>
          <w:szCs w:val="24"/>
          <w:lang w:val="zh-CN"/>
        </w:rPr>
        <w:t>3.2</w:t>
      </w:r>
      <w:r>
        <w:rPr>
          <w:rFonts w:hint="eastAsia" w:hAnsi="宋体"/>
          <w:b/>
          <w:color w:val="auto"/>
          <w:sz w:val="24"/>
          <w:szCs w:val="24"/>
          <w:lang w:val="zh-CN"/>
        </w:rPr>
        <w:t>详细</w:t>
      </w:r>
      <w:bookmarkEnd w:id="134"/>
      <w:r>
        <w:rPr>
          <w:rFonts w:hint="eastAsia" w:hAnsi="宋体"/>
          <w:b/>
          <w:color w:val="auto"/>
          <w:sz w:val="24"/>
          <w:szCs w:val="24"/>
          <w:lang w:val="zh-CN"/>
        </w:rPr>
        <w:t>评审</w:t>
      </w:r>
    </w:p>
    <w:p>
      <w:pPr>
        <w:pStyle w:val="35"/>
        <w:tabs>
          <w:tab w:val="left" w:pos="227"/>
        </w:tabs>
        <w:spacing w:line="360" w:lineRule="auto"/>
        <w:ind w:right="6" w:firstLine="490" w:firstLineChars="200"/>
        <w:rPr>
          <w:rFonts w:hAnsi="宋体"/>
          <w:color w:val="auto"/>
          <w:sz w:val="24"/>
          <w:szCs w:val="24"/>
          <w:lang w:val="zh-CN"/>
        </w:rPr>
      </w:pPr>
      <w:r>
        <w:rPr>
          <w:rFonts w:hint="eastAsia" w:hAnsi="宋体"/>
          <w:color w:val="auto"/>
          <w:sz w:val="24"/>
          <w:szCs w:val="24"/>
          <w:lang w:val="zh-CN"/>
        </w:rPr>
        <w:t>评审委员会按本章规定的量化因素和分值进行打分，并计算出综合评估得分。</w:t>
      </w:r>
    </w:p>
    <w:p>
      <w:pPr>
        <w:pStyle w:val="35"/>
        <w:tabs>
          <w:tab w:val="left" w:pos="227"/>
        </w:tabs>
        <w:spacing w:line="360" w:lineRule="auto"/>
        <w:ind w:right="6" w:firstLine="490" w:firstLineChars="200"/>
        <w:rPr>
          <w:rFonts w:hAnsi="宋体"/>
          <w:color w:val="auto"/>
          <w:sz w:val="24"/>
          <w:szCs w:val="24"/>
          <w:lang w:val="zh-CN"/>
        </w:rPr>
      </w:pPr>
      <w:r>
        <w:rPr>
          <w:rFonts w:hint="eastAsia" w:hAnsi="宋体"/>
          <w:color w:val="auto"/>
          <w:sz w:val="24"/>
          <w:szCs w:val="24"/>
          <w:lang w:val="zh-CN"/>
        </w:rPr>
        <w:t>评分分值计算保留小数点后一位，小数点后第二位“四舍五入”。</w:t>
      </w:r>
    </w:p>
    <w:p>
      <w:pPr>
        <w:pStyle w:val="35"/>
        <w:tabs>
          <w:tab w:val="left" w:pos="227"/>
        </w:tabs>
        <w:spacing w:line="360" w:lineRule="auto"/>
        <w:ind w:right="6" w:firstLine="490" w:firstLineChars="200"/>
        <w:rPr>
          <w:rFonts w:hAnsi="宋体"/>
          <w:color w:val="auto"/>
          <w:sz w:val="24"/>
          <w:szCs w:val="24"/>
          <w:lang w:val="zh-CN"/>
        </w:rPr>
      </w:pPr>
      <w:r>
        <w:rPr>
          <w:rFonts w:hint="eastAsia" w:hAnsi="宋体"/>
          <w:color w:val="auto"/>
          <w:sz w:val="24"/>
          <w:szCs w:val="24"/>
          <w:lang w:val="zh-CN"/>
        </w:rPr>
        <w:t>比选申请人得分为评审因素的合计得分。</w:t>
      </w:r>
    </w:p>
    <w:p>
      <w:pPr>
        <w:pStyle w:val="35"/>
        <w:tabs>
          <w:tab w:val="left" w:pos="227"/>
          <w:tab w:val="left" w:pos="420"/>
        </w:tabs>
        <w:spacing w:line="360" w:lineRule="auto"/>
        <w:ind w:right="4"/>
        <w:rPr>
          <w:rFonts w:hAnsi="宋体"/>
          <w:b/>
          <w:color w:val="auto"/>
          <w:sz w:val="24"/>
          <w:szCs w:val="24"/>
          <w:lang w:val="zh-CN"/>
        </w:rPr>
      </w:pPr>
      <w:bookmarkStart w:id="135" w:name="_Toc500402959"/>
      <w:r>
        <w:rPr>
          <w:rFonts w:hAnsi="宋体"/>
          <w:b/>
          <w:color w:val="auto"/>
          <w:sz w:val="24"/>
          <w:szCs w:val="24"/>
          <w:lang w:val="zh-CN"/>
        </w:rPr>
        <w:t>4</w:t>
      </w:r>
      <w:r>
        <w:rPr>
          <w:rFonts w:hint="eastAsia" w:hAnsi="宋体"/>
          <w:b/>
          <w:color w:val="auto"/>
          <w:sz w:val="24"/>
          <w:szCs w:val="24"/>
          <w:lang w:val="zh-CN"/>
        </w:rPr>
        <w:t>.评审结果</w:t>
      </w:r>
      <w:bookmarkEnd w:id="135"/>
    </w:p>
    <w:p>
      <w:pPr>
        <w:pStyle w:val="35"/>
        <w:tabs>
          <w:tab w:val="left" w:pos="227"/>
        </w:tabs>
        <w:spacing w:line="360" w:lineRule="auto"/>
        <w:ind w:firstLine="490" w:firstLineChars="200"/>
        <w:rPr>
          <w:rFonts w:hAnsi="宋体"/>
          <w:b/>
          <w:bCs/>
          <w:color w:val="auto"/>
          <w:sz w:val="24"/>
          <w:szCs w:val="24"/>
          <w:lang w:val="zh-CN"/>
        </w:rPr>
      </w:pPr>
      <w:r>
        <w:rPr>
          <w:rFonts w:hint="eastAsia" w:hAnsi="宋体"/>
          <w:b/>
          <w:bCs/>
          <w:color w:val="auto"/>
          <w:sz w:val="24"/>
          <w:szCs w:val="24"/>
          <w:lang w:val="zh-CN"/>
        </w:rPr>
        <w:t>评审委员会按照得分由高到低的顺序推荐中选候选人</w:t>
      </w:r>
      <w:r>
        <w:rPr>
          <w:rFonts w:hAnsi="宋体"/>
          <w:b/>
          <w:bCs/>
          <w:color w:val="auto"/>
          <w:sz w:val="24"/>
          <w:szCs w:val="24"/>
          <w:lang w:val="zh-CN"/>
        </w:rPr>
        <w:t>1</w:t>
      </w:r>
      <w:r>
        <w:rPr>
          <w:rFonts w:hint="eastAsia" w:hAnsi="宋体"/>
          <w:b/>
          <w:bCs/>
          <w:color w:val="auto"/>
          <w:sz w:val="24"/>
          <w:szCs w:val="24"/>
          <w:lang w:val="zh-CN"/>
        </w:rPr>
        <w:t>～</w:t>
      </w:r>
      <w:r>
        <w:rPr>
          <w:rFonts w:hAnsi="宋体"/>
          <w:b/>
          <w:bCs/>
          <w:color w:val="auto"/>
          <w:sz w:val="24"/>
          <w:szCs w:val="24"/>
          <w:lang w:val="zh-CN"/>
        </w:rPr>
        <w:t>3</w:t>
      </w:r>
      <w:r>
        <w:rPr>
          <w:rFonts w:hint="eastAsia" w:hAnsi="宋体"/>
          <w:b/>
          <w:bCs/>
          <w:color w:val="auto"/>
          <w:sz w:val="24"/>
          <w:szCs w:val="24"/>
          <w:lang w:val="zh-CN"/>
        </w:rPr>
        <w:t>家。</w:t>
      </w:r>
    </w:p>
    <w:p>
      <w:pPr>
        <w:pStyle w:val="35"/>
        <w:tabs>
          <w:tab w:val="left" w:pos="227"/>
        </w:tabs>
        <w:spacing w:line="360" w:lineRule="auto"/>
        <w:ind w:firstLine="490" w:firstLineChars="200"/>
        <w:rPr>
          <w:rFonts w:hAnsi="宋体"/>
          <w:color w:val="auto"/>
          <w:lang w:val="zh-CN"/>
        </w:rPr>
      </w:pPr>
      <w:r>
        <w:rPr>
          <w:rFonts w:hint="eastAsia" w:hAnsi="宋体"/>
          <w:b/>
          <w:bCs/>
          <w:color w:val="auto"/>
          <w:sz w:val="24"/>
          <w:szCs w:val="24"/>
          <w:lang w:val="zh-CN"/>
        </w:rPr>
        <w:t>比选人在评审委员会推荐的中选候选人中，按评审委员会推荐的中选候选人顺序确定中选人。</w:t>
      </w:r>
      <w:r>
        <w:rPr>
          <w:rFonts w:hAnsi="宋体"/>
          <w:color w:val="auto"/>
          <w:sz w:val="24"/>
        </w:rPr>
        <w:br w:type="page"/>
      </w:r>
    </w:p>
    <w:p>
      <w:pPr>
        <w:pStyle w:val="3"/>
        <w:spacing w:before="312" w:after="312"/>
        <w:rPr>
          <w:color w:val="auto"/>
        </w:rPr>
      </w:pPr>
      <w:bookmarkStart w:id="136" w:name="_Toc454834943"/>
      <w:bookmarkStart w:id="137" w:name="_Toc500403139"/>
      <w:bookmarkStart w:id="138" w:name="_Toc27830"/>
      <w:r>
        <w:rPr>
          <w:color w:val="auto"/>
        </w:rPr>
        <w:t>第四章比选申请文件格式</w:t>
      </w:r>
      <w:bookmarkEnd w:id="136"/>
      <w:bookmarkEnd w:id="137"/>
      <w:bookmarkEnd w:id="138"/>
    </w:p>
    <w:p>
      <w:pPr>
        <w:ind w:firstLine="6860" w:firstLineChars="2800"/>
        <w:jc w:val="both"/>
        <w:rPr>
          <w:rFonts w:ascii="宋体"/>
          <w:color w:val="auto"/>
        </w:rPr>
      </w:pPr>
      <w:r>
        <w:rPr>
          <w:rFonts w:hint="eastAsia" w:ascii="宋体" w:hAnsi="宋体"/>
          <w:color w:val="auto"/>
        </w:rPr>
        <w:t>正本（或副本）</w:t>
      </w:r>
    </w:p>
    <w:p>
      <w:pPr>
        <w:ind w:firstLine="0" w:firstLineChars="0"/>
        <w:jc w:val="center"/>
        <w:rPr>
          <w:rFonts w:hint="eastAsia" w:ascii="宋体" w:hAnsi="宋体"/>
          <w:b/>
          <w:color w:val="auto"/>
          <w:sz w:val="32"/>
          <w:szCs w:val="32"/>
          <w:u w:val="single"/>
          <w:lang w:val="en-US" w:eastAsia="zh-CN"/>
        </w:rPr>
      </w:pPr>
    </w:p>
    <w:p>
      <w:pPr>
        <w:ind w:firstLine="0" w:firstLineChars="0"/>
        <w:jc w:val="center"/>
        <w:rPr>
          <w:rFonts w:hint="eastAsia" w:ascii="宋体" w:hAnsi="宋体"/>
          <w:b/>
          <w:color w:val="auto"/>
          <w:sz w:val="32"/>
          <w:szCs w:val="32"/>
          <w:u w:val="single"/>
          <w:lang w:val="en-US" w:eastAsia="zh-CN"/>
        </w:rPr>
      </w:pPr>
    </w:p>
    <w:p>
      <w:pPr>
        <w:ind w:firstLine="0" w:firstLineChars="0"/>
        <w:jc w:val="center"/>
        <w:rPr>
          <w:rFonts w:hint="eastAsia" w:ascii="宋体" w:hAnsi="宋体"/>
          <w:b/>
          <w:color w:val="auto"/>
          <w:sz w:val="32"/>
          <w:szCs w:val="32"/>
          <w:u w:val="single"/>
          <w:lang w:val="en-US" w:eastAsia="zh-CN"/>
        </w:rPr>
      </w:pPr>
      <w:r>
        <w:rPr>
          <w:rFonts w:hint="eastAsia" w:ascii="宋体" w:hAnsi="宋体"/>
          <w:b/>
          <w:color w:val="auto"/>
          <w:sz w:val="32"/>
          <w:szCs w:val="32"/>
          <w:u w:val="single"/>
          <w:lang w:val="en-US" w:eastAsia="zh-CN"/>
        </w:rPr>
        <w:t>四川省国有资产经营投资管理有限责任公司</w:t>
      </w:r>
    </w:p>
    <w:p>
      <w:pPr>
        <w:ind w:firstLine="0" w:firstLineChars="0"/>
        <w:jc w:val="center"/>
        <w:rPr>
          <w:rFonts w:ascii="宋体"/>
          <w:b/>
          <w:strike w:val="0"/>
          <w:dstrike w:val="0"/>
          <w:color w:val="auto"/>
          <w:sz w:val="32"/>
          <w:szCs w:val="32"/>
          <w:u w:val="single"/>
        </w:rPr>
      </w:pPr>
      <w:r>
        <w:rPr>
          <w:rFonts w:hint="eastAsia" w:ascii="宋体" w:hAnsi="宋体"/>
          <w:b/>
          <w:color w:val="auto"/>
          <w:sz w:val="32"/>
          <w:szCs w:val="32"/>
          <w:u w:val="single"/>
          <w:lang w:val="en-US" w:eastAsia="zh-CN"/>
        </w:rPr>
        <w:t>窗帘采</w:t>
      </w:r>
      <w:r>
        <w:rPr>
          <w:rFonts w:hint="eastAsia" w:ascii="宋体" w:hAnsi="宋体"/>
          <w:b/>
          <w:strike w:val="0"/>
          <w:dstrike w:val="0"/>
          <w:color w:val="auto"/>
          <w:sz w:val="32"/>
          <w:szCs w:val="32"/>
          <w:u w:val="single"/>
          <w:lang w:val="en-US" w:eastAsia="zh-CN"/>
        </w:rPr>
        <w:t>购</w:t>
      </w:r>
      <w:r>
        <w:rPr>
          <w:rFonts w:hint="eastAsia" w:ascii="宋体" w:hAnsi="宋体"/>
          <w:b/>
          <w:strike w:val="0"/>
          <w:dstrike w:val="0"/>
          <w:color w:val="auto"/>
          <w:sz w:val="32"/>
          <w:szCs w:val="32"/>
          <w:u w:val="single"/>
        </w:rPr>
        <w:t>项目</w:t>
      </w:r>
    </w:p>
    <w:p>
      <w:pPr>
        <w:ind w:firstLine="0" w:firstLineChars="0"/>
        <w:jc w:val="center"/>
        <w:rPr>
          <w:rFonts w:ascii="宋体"/>
          <w:b/>
          <w:color w:val="auto"/>
          <w:sz w:val="36"/>
          <w:szCs w:val="36"/>
        </w:rPr>
      </w:pPr>
    </w:p>
    <w:p>
      <w:pPr>
        <w:ind w:firstLine="0" w:firstLineChars="0"/>
        <w:jc w:val="center"/>
        <w:rPr>
          <w:rFonts w:ascii="宋体"/>
          <w:b/>
          <w:color w:val="auto"/>
          <w:sz w:val="36"/>
          <w:szCs w:val="36"/>
          <w:lang w:val="zh-CN"/>
        </w:rPr>
      </w:pPr>
    </w:p>
    <w:p>
      <w:pPr>
        <w:ind w:firstLine="0" w:firstLineChars="0"/>
        <w:jc w:val="center"/>
        <w:rPr>
          <w:rFonts w:ascii="宋体"/>
          <w:b/>
          <w:color w:val="auto"/>
          <w:sz w:val="36"/>
          <w:szCs w:val="36"/>
          <w:lang w:val="zh-CN"/>
        </w:rPr>
      </w:pPr>
    </w:p>
    <w:p>
      <w:pPr>
        <w:ind w:firstLine="0" w:firstLineChars="0"/>
        <w:jc w:val="center"/>
        <w:rPr>
          <w:rFonts w:ascii="宋体"/>
          <w:b/>
          <w:color w:val="auto"/>
          <w:sz w:val="36"/>
          <w:szCs w:val="36"/>
          <w:lang w:val="zh-CN"/>
        </w:rPr>
      </w:pPr>
    </w:p>
    <w:p>
      <w:pPr>
        <w:ind w:firstLine="0" w:firstLineChars="0"/>
        <w:jc w:val="center"/>
        <w:rPr>
          <w:rFonts w:ascii="宋体"/>
          <w:b/>
          <w:color w:val="auto"/>
          <w:sz w:val="52"/>
          <w:szCs w:val="52"/>
          <w:lang w:val="zh-CN"/>
        </w:rPr>
      </w:pPr>
      <w:r>
        <w:rPr>
          <w:rFonts w:hint="eastAsia" w:ascii="宋体" w:hAnsi="宋体"/>
          <w:b/>
          <w:color w:val="auto"/>
          <w:sz w:val="52"/>
          <w:szCs w:val="52"/>
          <w:lang w:val="zh-CN"/>
        </w:rPr>
        <w:t>比选申请文件</w:t>
      </w:r>
    </w:p>
    <w:p>
      <w:pPr>
        <w:pStyle w:val="35"/>
        <w:spacing w:line="360" w:lineRule="auto"/>
        <w:ind w:right="4"/>
        <w:rPr>
          <w:rFonts w:hAnsi="宋体"/>
          <w:color w:val="auto"/>
          <w:sz w:val="21"/>
          <w:szCs w:val="21"/>
          <w:lang w:val="zh-CN"/>
        </w:rPr>
      </w:pPr>
    </w:p>
    <w:p>
      <w:pPr>
        <w:pStyle w:val="35"/>
        <w:spacing w:line="360" w:lineRule="auto"/>
        <w:ind w:right="4"/>
        <w:rPr>
          <w:rFonts w:hAnsi="宋体"/>
          <w:color w:val="auto"/>
          <w:sz w:val="21"/>
          <w:szCs w:val="21"/>
          <w:lang w:val="zh-CN"/>
        </w:rPr>
      </w:pPr>
    </w:p>
    <w:p>
      <w:pPr>
        <w:pStyle w:val="35"/>
        <w:spacing w:line="360" w:lineRule="auto"/>
        <w:ind w:right="4"/>
        <w:rPr>
          <w:rFonts w:hAnsi="宋体"/>
          <w:color w:val="auto"/>
          <w:sz w:val="21"/>
          <w:szCs w:val="21"/>
          <w:lang w:val="zh-CN"/>
        </w:rPr>
      </w:pPr>
    </w:p>
    <w:p>
      <w:pPr>
        <w:pStyle w:val="35"/>
        <w:spacing w:line="360" w:lineRule="auto"/>
        <w:ind w:right="4"/>
        <w:rPr>
          <w:rFonts w:hAnsi="宋体"/>
          <w:color w:val="auto"/>
          <w:sz w:val="21"/>
          <w:szCs w:val="21"/>
          <w:lang w:val="zh-CN"/>
        </w:rPr>
      </w:pPr>
    </w:p>
    <w:p>
      <w:pPr>
        <w:pStyle w:val="35"/>
        <w:spacing w:line="360" w:lineRule="auto"/>
        <w:ind w:right="4"/>
        <w:rPr>
          <w:rFonts w:hAnsi="宋体"/>
          <w:color w:val="auto"/>
          <w:sz w:val="21"/>
          <w:szCs w:val="21"/>
          <w:lang w:val="zh-CN"/>
        </w:rPr>
      </w:pPr>
    </w:p>
    <w:p>
      <w:pPr>
        <w:pStyle w:val="35"/>
        <w:spacing w:line="360" w:lineRule="auto"/>
        <w:ind w:right="4"/>
        <w:rPr>
          <w:rFonts w:hAnsi="宋体"/>
          <w:color w:val="auto"/>
          <w:sz w:val="21"/>
          <w:szCs w:val="21"/>
          <w:lang w:val="zh-CN"/>
        </w:rPr>
      </w:pPr>
    </w:p>
    <w:p>
      <w:pPr>
        <w:spacing w:line="480" w:lineRule="auto"/>
        <w:ind w:firstLine="0" w:firstLineChars="0"/>
        <w:rPr>
          <w:rFonts w:ascii="宋体"/>
          <w:b/>
          <w:color w:val="auto"/>
          <w:sz w:val="28"/>
          <w:szCs w:val="28"/>
        </w:rPr>
      </w:pPr>
      <w:r>
        <w:rPr>
          <w:rFonts w:hint="eastAsia" w:ascii="宋体" w:hAnsi="宋体"/>
          <w:b/>
          <w:color w:val="auto"/>
          <w:sz w:val="28"/>
          <w:szCs w:val="28"/>
        </w:rPr>
        <w:t>比选申请人：</w:t>
      </w:r>
      <w:r>
        <w:rPr>
          <w:rFonts w:ascii="宋体" w:hAnsi="宋体"/>
          <w:b/>
          <w:color w:val="auto"/>
          <w:sz w:val="28"/>
          <w:szCs w:val="28"/>
        </w:rPr>
        <w:t>___________________</w:t>
      </w:r>
      <w:r>
        <w:rPr>
          <w:rFonts w:hint="eastAsia" w:ascii="宋体" w:hAnsi="宋体"/>
          <w:b/>
          <w:color w:val="auto"/>
          <w:sz w:val="28"/>
          <w:szCs w:val="28"/>
        </w:rPr>
        <w:t>（全称并加盖企业法人公章）</w:t>
      </w:r>
    </w:p>
    <w:p>
      <w:pPr>
        <w:spacing w:line="480" w:lineRule="auto"/>
        <w:ind w:firstLine="0" w:firstLineChars="0"/>
        <w:rPr>
          <w:rFonts w:ascii="宋体"/>
          <w:b/>
          <w:color w:val="auto"/>
          <w:sz w:val="28"/>
          <w:szCs w:val="28"/>
        </w:rPr>
      </w:pPr>
      <w:r>
        <w:rPr>
          <w:rFonts w:hint="eastAsia" w:ascii="宋体" w:hAnsi="宋体"/>
          <w:b/>
          <w:color w:val="auto"/>
          <w:sz w:val="28"/>
          <w:szCs w:val="28"/>
        </w:rPr>
        <w:t>法定代表人或其委托代理人：</w:t>
      </w:r>
      <w:r>
        <w:rPr>
          <w:rFonts w:ascii="宋体" w:hAnsi="宋体"/>
          <w:b/>
          <w:color w:val="auto"/>
          <w:sz w:val="28"/>
          <w:szCs w:val="28"/>
        </w:rPr>
        <w:t>______________</w:t>
      </w:r>
      <w:r>
        <w:rPr>
          <w:rFonts w:hint="eastAsia" w:ascii="宋体" w:hAnsi="宋体"/>
          <w:b/>
          <w:color w:val="auto"/>
          <w:sz w:val="28"/>
          <w:szCs w:val="28"/>
        </w:rPr>
        <w:t>（签字）</w:t>
      </w:r>
    </w:p>
    <w:p>
      <w:pPr>
        <w:pStyle w:val="35"/>
        <w:spacing w:line="360" w:lineRule="auto"/>
        <w:ind w:right="4"/>
        <w:jc w:val="center"/>
        <w:rPr>
          <w:rFonts w:hAnsi="宋体"/>
          <w:b/>
          <w:color w:val="auto"/>
          <w:sz w:val="28"/>
          <w:szCs w:val="28"/>
          <w:lang w:val="zh-CN"/>
        </w:rPr>
      </w:pPr>
    </w:p>
    <w:p>
      <w:pPr>
        <w:pStyle w:val="35"/>
        <w:spacing w:line="360" w:lineRule="auto"/>
        <w:ind w:right="4"/>
        <w:jc w:val="center"/>
        <w:rPr>
          <w:rFonts w:hAnsi="宋体"/>
          <w:b/>
          <w:color w:val="auto"/>
          <w:sz w:val="28"/>
          <w:szCs w:val="28"/>
          <w:lang w:val="zh-CN"/>
        </w:rPr>
      </w:pPr>
    </w:p>
    <w:p>
      <w:pPr>
        <w:pStyle w:val="35"/>
        <w:spacing w:line="360" w:lineRule="auto"/>
        <w:ind w:right="4"/>
        <w:jc w:val="center"/>
        <w:rPr>
          <w:rFonts w:hAnsi="宋体"/>
          <w:b/>
          <w:color w:val="auto"/>
          <w:sz w:val="28"/>
          <w:szCs w:val="28"/>
          <w:lang w:val="zh-CN"/>
        </w:rPr>
      </w:pPr>
      <w:r>
        <w:rPr>
          <w:rFonts w:hint="eastAsia" w:hAnsi="宋体"/>
          <w:b/>
          <w:color w:val="auto"/>
          <w:sz w:val="28"/>
          <w:szCs w:val="28"/>
          <w:lang w:val="zh-CN"/>
        </w:rPr>
        <w:t>年</w:t>
      </w:r>
      <w:r>
        <w:rPr>
          <w:rFonts w:hAnsi="宋体"/>
          <w:b/>
          <w:color w:val="auto"/>
          <w:sz w:val="28"/>
          <w:szCs w:val="28"/>
          <w:lang w:val="zh-CN"/>
        </w:rPr>
        <w:t xml:space="preserve">  </w:t>
      </w:r>
      <w:r>
        <w:rPr>
          <w:rFonts w:hint="eastAsia" w:hAnsi="宋体"/>
          <w:b/>
          <w:color w:val="auto"/>
          <w:sz w:val="28"/>
          <w:szCs w:val="28"/>
          <w:lang w:val="zh-CN"/>
        </w:rPr>
        <w:t>月</w:t>
      </w:r>
      <w:r>
        <w:rPr>
          <w:rFonts w:hAnsi="宋体"/>
          <w:b/>
          <w:color w:val="auto"/>
          <w:sz w:val="28"/>
          <w:szCs w:val="28"/>
          <w:lang w:val="zh-CN"/>
        </w:rPr>
        <w:t xml:space="preserve">  </w:t>
      </w:r>
      <w:r>
        <w:rPr>
          <w:rFonts w:hint="eastAsia" w:hAnsi="宋体"/>
          <w:b/>
          <w:color w:val="auto"/>
          <w:sz w:val="28"/>
          <w:szCs w:val="28"/>
          <w:lang w:val="zh-CN"/>
        </w:rPr>
        <w:t>日</w:t>
      </w:r>
    </w:p>
    <w:p>
      <w:pPr>
        <w:pStyle w:val="35"/>
        <w:spacing w:line="360" w:lineRule="auto"/>
        <w:ind w:right="4"/>
        <w:rPr>
          <w:rFonts w:hAnsi="宋体"/>
          <w:b/>
          <w:color w:val="auto"/>
          <w:lang w:val="zh-CN"/>
        </w:rPr>
      </w:pPr>
    </w:p>
    <w:p>
      <w:pPr>
        <w:ind w:firstLine="0" w:firstLineChars="0"/>
        <w:rPr>
          <w:color w:val="auto"/>
        </w:rPr>
      </w:pPr>
      <w:bookmarkStart w:id="139" w:name="_Toc500403140"/>
    </w:p>
    <w:p>
      <w:pPr>
        <w:ind w:firstLine="0" w:firstLineChars="0"/>
        <w:rPr>
          <w:color w:val="auto"/>
        </w:rPr>
      </w:pPr>
    </w:p>
    <w:p>
      <w:pPr>
        <w:pStyle w:val="14"/>
        <w:spacing w:before="156" w:after="156"/>
        <w:rPr>
          <w:color w:val="auto"/>
        </w:rPr>
      </w:pPr>
      <w:bookmarkStart w:id="140" w:name="_Toc454834944"/>
      <w:bookmarkStart w:id="141" w:name="_Toc449699431"/>
      <w:r>
        <w:rPr>
          <w:color w:val="auto"/>
        </w:rPr>
        <w:t>目录</w:t>
      </w:r>
      <w:bookmarkEnd w:id="139"/>
      <w:bookmarkEnd w:id="140"/>
      <w:bookmarkEnd w:id="141"/>
    </w:p>
    <w:p>
      <w:pPr>
        <w:ind w:firstLine="0" w:firstLineChars="0"/>
        <w:jc w:val="center"/>
        <w:rPr>
          <w:rFonts w:ascii="宋体"/>
          <w:color w:val="auto"/>
        </w:rPr>
      </w:pPr>
      <w:r>
        <w:rPr>
          <w:rFonts w:hint="eastAsia" w:ascii="宋体" w:hAnsi="宋体"/>
          <w:color w:val="auto"/>
        </w:rPr>
        <w:t>（自拟）</w:t>
      </w: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widowControl/>
        <w:ind w:firstLine="0" w:firstLineChars="0"/>
        <w:rPr>
          <w:rFonts w:ascii="宋体"/>
          <w:b/>
          <w:color w:val="auto"/>
          <w:sz w:val="32"/>
          <w:szCs w:val="32"/>
        </w:rPr>
      </w:pPr>
      <w:bookmarkStart w:id="142" w:name="_Toc500403141"/>
      <w:bookmarkStart w:id="143" w:name="_Toc449699432"/>
      <w:r>
        <w:rPr>
          <w:rFonts w:ascii="宋体"/>
          <w:b/>
          <w:color w:val="auto"/>
          <w:sz w:val="32"/>
          <w:szCs w:val="32"/>
        </w:rPr>
        <w:br w:type="page"/>
      </w:r>
    </w:p>
    <w:bookmarkEnd w:id="142"/>
    <w:bookmarkEnd w:id="143"/>
    <w:p>
      <w:pPr>
        <w:pStyle w:val="14"/>
        <w:spacing w:before="156" w:after="156"/>
        <w:rPr>
          <w:color w:val="auto"/>
          <w:szCs w:val="28"/>
        </w:rPr>
      </w:pPr>
      <w:bookmarkStart w:id="144" w:name="_Toc514083108"/>
      <w:bookmarkStart w:id="145" w:name="_Toc462131547"/>
      <w:bookmarkStart w:id="146" w:name="_Toc454834945"/>
      <w:bookmarkStart w:id="147" w:name="_Toc456648498"/>
      <w:r>
        <w:rPr>
          <w:color w:val="auto"/>
        </w:rPr>
        <w:t>一、比选申请函</w:t>
      </w:r>
      <w:bookmarkEnd w:id="144"/>
      <w:bookmarkEnd w:id="145"/>
      <w:bookmarkEnd w:id="146"/>
      <w:bookmarkEnd w:id="147"/>
    </w:p>
    <w:p>
      <w:pPr>
        <w:ind w:firstLine="0" w:firstLineChars="0"/>
        <w:rPr>
          <w:rFonts w:hint="eastAsia" w:ascii="宋体" w:hAnsi="宋体" w:eastAsia="宋体"/>
          <w:color w:val="auto"/>
          <w:lang w:eastAsia="zh-CN"/>
        </w:rPr>
      </w:pPr>
      <w:r>
        <w:rPr>
          <w:rFonts w:hint="eastAsia" w:ascii="宋体" w:hAnsi="宋体"/>
          <w:color w:val="auto"/>
        </w:rPr>
        <w:t>四川省</w:t>
      </w:r>
      <w:r>
        <w:rPr>
          <w:rFonts w:hint="eastAsia" w:ascii="宋体" w:hAnsi="宋体"/>
          <w:color w:val="auto"/>
          <w:lang w:val="en-US" w:eastAsia="zh-CN"/>
        </w:rPr>
        <w:t>国有资产经营投资管理有限责任公司</w:t>
      </w:r>
      <w:r>
        <w:rPr>
          <w:rFonts w:hint="eastAsia" w:ascii="宋体" w:hAnsi="宋体"/>
          <w:color w:val="auto"/>
          <w:lang w:eastAsia="zh-CN"/>
        </w:rPr>
        <w:t>：</w:t>
      </w:r>
    </w:p>
    <w:p>
      <w:pPr>
        <w:spacing w:line="440" w:lineRule="exact"/>
        <w:ind w:left="0" w:leftChars="0" w:firstLine="490" w:firstLineChars="200"/>
        <w:rPr>
          <w:color w:val="auto"/>
          <w:szCs w:val="24"/>
        </w:rPr>
      </w:pPr>
      <w:r>
        <w:rPr>
          <w:rFonts w:hint="eastAsia" w:ascii="宋体" w:hAnsi="宋体"/>
          <w:color w:val="auto"/>
          <w:szCs w:val="24"/>
        </w:rPr>
        <w:t>一、</w:t>
      </w:r>
      <w:r>
        <w:rPr>
          <w:rFonts w:hint="eastAsia"/>
          <w:color w:val="auto"/>
          <w:szCs w:val="24"/>
        </w:rPr>
        <w:t>我方已仔细研究了</w:t>
      </w:r>
      <w:r>
        <w:rPr>
          <w:rFonts w:hint="eastAsia"/>
          <w:color w:val="auto"/>
          <w:szCs w:val="24"/>
          <w:u w:val="single"/>
          <w:lang w:val="en-US" w:eastAsia="zh-CN"/>
        </w:rPr>
        <w:t>国资经营公司</w:t>
      </w:r>
      <w:r>
        <w:rPr>
          <w:rFonts w:hint="eastAsia" w:ascii="宋体" w:hAnsi="宋体"/>
          <w:b w:val="0"/>
          <w:bCs w:val="0"/>
          <w:color w:val="auto"/>
          <w:u w:val="single"/>
          <w:lang w:val="en-US" w:eastAsia="zh-CN"/>
        </w:rPr>
        <w:t>窗帘采购</w:t>
      </w:r>
      <w:r>
        <w:rPr>
          <w:rFonts w:hint="eastAsia" w:ascii="宋体" w:hAnsi="宋体"/>
          <w:b w:val="0"/>
          <w:bCs w:val="0"/>
          <w:color w:val="auto"/>
          <w:u w:val="single"/>
        </w:rPr>
        <w:t>项目</w:t>
      </w:r>
      <w:r>
        <w:rPr>
          <w:rFonts w:hint="eastAsia"/>
          <w:color w:val="auto"/>
          <w:szCs w:val="24"/>
        </w:rPr>
        <w:t>比选文件的全部内容，愿意以人民币（大写）</w:t>
      </w:r>
      <w:r>
        <w:rPr>
          <w:rFonts w:hint="eastAsia"/>
          <w:color w:val="auto"/>
          <w:szCs w:val="24"/>
          <w:u w:val="single"/>
          <w:lang w:val="en-US" w:eastAsia="zh-CN"/>
        </w:rPr>
        <w:t xml:space="preserve">       </w:t>
      </w:r>
      <w:r>
        <w:rPr>
          <w:rFonts w:hint="eastAsia"/>
          <w:color w:val="auto"/>
          <w:szCs w:val="24"/>
          <w:u w:val="single"/>
        </w:rPr>
        <w:t>（</w:t>
      </w:r>
      <w:r>
        <w:rPr>
          <w:color w:val="auto"/>
          <w:szCs w:val="24"/>
          <w:u w:val="single"/>
        </w:rPr>
        <w:t xml:space="preserve">¥     </w:t>
      </w:r>
      <w:r>
        <w:rPr>
          <w:rFonts w:hint="eastAsia"/>
          <w:color w:val="auto"/>
          <w:szCs w:val="24"/>
          <w:u w:val="single"/>
        </w:rPr>
        <w:t>）</w:t>
      </w:r>
      <w:r>
        <w:rPr>
          <w:rFonts w:hint="eastAsia"/>
          <w:color w:val="auto"/>
          <w:szCs w:val="24"/>
        </w:rPr>
        <w:t>的比选总报价，供货时间：</w:t>
      </w:r>
      <w:r>
        <w:rPr>
          <w:color w:val="auto"/>
          <w:szCs w:val="24"/>
          <w:u w:val="single"/>
        </w:rPr>
        <w:t xml:space="preserve">   </w:t>
      </w:r>
      <w:r>
        <w:rPr>
          <w:rFonts w:hint="eastAsia"/>
          <w:color w:val="auto"/>
          <w:szCs w:val="24"/>
          <w:u w:val="single"/>
          <w:lang w:val="en-US" w:eastAsia="zh-CN"/>
        </w:rPr>
        <w:t xml:space="preserve"> </w:t>
      </w:r>
      <w:r>
        <w:rPr>
          <w:color w:val="auto"/>
          <w:szCs w:val="24"/>
          <w:u w:val="single"/>
        </w:rPr>
        <w:t xml:space="preserve">  </w:t>
      </w:r>
      <w:r>
        <w:rPr>
          <w:rFonts w:hint="eastAsia"/>
          <w:color w:val="auto"/>
          <w:szCs w:val="24"/>
        </w:rPr>
        <w:t>，按合同约定实施和完成本项目，修补项目中的任何缺陷，</w:t>
      </w:r>
      <w:r>
        <w:rPr>
          <w:rFonts w:hint="eastAsia" w:ascii="宋体" w:hAnsi="宋体"/>
          <w:color w:val="auto"/>
          <w:szCs w:val="24"/>
        </w:rPr>
        <w:t>质量：</w:t>
      </w:r>
      <w:r>
        <w:rPr>
          <w:color w:val="auto"/>
          <w:szCs w:val="24"/>
          <w:u w:val="single"/>
        </w:rPr>
        <w:t xml:space="preserve">     </w:t>
      </w:r>
      <w:r>
        <w:rPr>
          <w:rFonts w:hint="eastAsia"/>
          <w:color w:val="auto"/>
          <w:szCs w:val="24"/>
        </w:rPr>
        <w:t>。</w:t>
      </w:r>
    </w:p>
    <w:p>
      <w:pPr>
        <w:ind w:firstLine="490" w:firstLineChars="200"/>
        <w:rPr>
          <w:rFonts w:ascii="宋体"/>
          <w:color w:val="auto"/>
        </w:rPr>
      </w:pPr>
      <w:r>
        <w:rPr>
          <w:rFonts w:hint="eastAsia" w:ascii="宋体" w:hAnsi="宋体"/>
          <w:color w:val="auto"/>
        </w:rPr>
        <w:t>二、我方提交的比选申请文件在比选申请截止时间后的</w:t>
      </w:r>
      <w:r>
        <w:rPr>
          <w:rFonts w:ascii="宋体" w:hAnsi="宋体"/>
          <w:color w:val="auto"/>
        </w:rPr>
        <w:t>60</w:t>
      </w:r>
      <w:r>
        <w:rPr>
          <w:rFonts w:hint="eastAsia" w:ascii="宋体" w:hAnsi="宋体"/>
          <w:color w:val="auto"/>
        </w:rPr>
        <w:t>天内有效，在此期间内被你方接受的上述文件对我方一直具有约束力。我方保证在有效期内不撤回比选申请文件，不修改比选申请文件。</w:t>
      </w:r>
    </w:p>
    <w:p>
      <w:pPr>
        <w:ind w:firstLine="490" w:firstLineChars="200"/>
        <w:rPr>
          <w:rFonts w:ascii="宋体"/>
          <w:color w:val="auto"/>
        </w:rPr>
      </w:pPr>
      <w:r>
        <w:rPr>
          <w:rFonts w:hint="eastAsia" w:ascii="宋体" w:hAnsi="宋体"/>
          <w:color w:val="auto"/>
        </w:rPr>
        <w:t>三、若我方中选：</w:t>
      </w:r>
    </w:p>
    <w:p>
      <w:pPr>
        <w:ind w:firstLine="490" w:firstLineChars="200"/>
        <w:rPr>
          <w:rFonts w:ascii="宋体"/>
          <w:color w:val="auto"/>
        </w:rPr>
      </w:pPr>
      <w:r>
        <w:rPr>
          <w:rFonts w:ascii="宋体" w:hAnsi="宋体"/>
          <w:color w:val="auto"/>
        </w:rPr>
        <w:t>1</w:t>
      </w:r>
      <w:r>
        <w:rPr>
          <w:rFonts w:hint="eastAsia" w:ascii="宋体" w:hAnsi="宋体"/>
          <w:color w:val="auto"/>
          <w:lang w:eastAsia="zh-CN"/>
        </w:rPr>
        <w:t>.</w:t>
      </w:r>
      <w:r>
        <w:rPr>
          <w:rFonts w:hint="eastAsia" w:ascii="宋体" w:hAnsi="宋体"/>
          <w:color w:val="auto"/>
        </w:rPr>
        <w:t>我方保证在收到你方的中选通知书后，按比选文件规定的期限，及时派代表前去签订合同。</w:t>
      </w:r>
    </w:p>
    <w:p>
      <w:pPr>
        <w:ind w:firstLine="490" w:firstLineChars="200"/>
        <w:rPr>
          <w:rFonts w:ascii="宋体"/>
          <w:color w:val="auto"/>
        </w:rPr>
      </w:pPr>
      <w:r>
        <w:rPr>
          <w:rFonts w:ascii="宋体" w:hAnsi="宋体"/>
          <w:color w:val="auto"/>
        </w:rPr>
        <w:t>2</w:t>
      </w:r>
      <w:r>
        <w:rPr>
          <w:rFonts w:hint="eastAsia" w:ascii="宋体" w:hAnsi="宋体"/>
          <w:color w:val="auto"/>
          <w:lang w:eastAsia="zh-CN"/>
        </w:rPr>
        <w:t>.</w:t>
      </w:r>
      <w:r>
        <w:rPr>
          <w:rFonts w:hint="eastAsia" w:ascii="宋体" w:hAnsi="宋体"/>
          <w:color w:val="auto"/>
        </w:rPr>
        <w:t>随同本申请报价书提交的辅助资料中的任何部分，经你方确认后可作为合同文件的组成部分。</w:t>
      </w:r>
    </w:p>
    <w:p>
      <w:pPr>
        <w:ind w:firstLine="490" w:firstLineChars="200"/>
        <w:rPr>
          <w:rFonts w:ascii="宋体"/>
          <w:color w:val="auto"/>
        </w:rPr>
      </w:pPr>
      <w:r>
        <w:rPr>
          <w:rFonts w:hint="eastAsia" w:ascii="宋体" w:hAnsi="宋体"/>
          <w:color w:val="auto"/>
        </w:rPr>
        <w:t>四、我方完全理解你方不保证报价最低的比选申请人中选。</w:t>
      </w:r>
    </w:p>
    <w:p>
      <w:pPr>
        <w:ind w:firstLine="490" w:firstLineChars="200"/>
        <w:rPr>
          <w:rFonts w:ascii="宋体"/>
          <w:color w:val="auto"/>
        </w:rPr>
      </w:pPr>
      <w:r>
        <w:rPr>
          <w:rFonts w:hint="eastAsia" w:ascii="宋体" w:hAnsi="宋体"/>
          <w:color w:val="auto"/>
        </w:rPr>
        <w:t>五、我公司完全理解比选人因法律和政策原因取消比选以及拒绝所有的申请文件，并对此类行动不承担任何责任，亦无义务向比选申请人解释其原因。</w:t>
      </w:r>
    </w:p>
    <w:p>
      <w:pPr>
        <w:ind w:firstLine="490" w:firstLineChars="200"/>
        <w:rPr>
          <w:rFonts w:ascii="宋体"/>
          <w:color w:val="auto"/>
        </w:rPr>
      </w:pPr>
      <w:r>
        <w:rPr>
          <w:rFonts w:hint="eastAsia" w:ascii="宋体" w:hAnsi="宋体"/>
          <w:color w:val="auto"/>
        </w:rPr>
        <w:t>六、如我方中选，我方保证接受你方在业务分配、费用支付额度及支付方式、业务质量及进度要求等方面的管理规定。</w:t>
      </w:r>
    </w:p>
    <w:p>
      <w:pPr>
        <w:ind w:firstLine="490" w:firstLineChars="200"/>
        <w:rPr>
          <w:rFonts w:ascii="宋体"/>
          <w:color w:val="auto"/>
        </w:rPr>
      </w:pPr>
      <w:r>
        <w:rPr>
          <w:rFonts w:hint="eastAsia" w:ascii="宋体" w:hAnsi="宋体"/>
          <w:color w:val="auto"/>
        </w:rPr>
        <w:t>七、我公司对提交材料中的所有陈述和声明的真实性和正确性负责。</w:t>
      </w:r>
    </w:p>
    <w:p>
      <w:pPr>
        <w:ind w:firstLine="0" w:firstLineChars="0"/>
        <w:rPr>
          <w:rFonts w:ascii="宋体"/>
          <w:b/>
          <w:color w:val="auto"/>
        </w:rPr>
      </w:pPr>
    </w:p>
    <w:p>
      <w:pPr>
        <w:ind w:firstLine="0" w:firstLineChars="0"/>
        <w:rPr>
          <w:rFonts w:ascii="宋体"/>
          <w:b/>
          <w:color w:val="auto"/>
        </w:rPr>
      </w:pPr>
    </w:p>
    <w:p>
      <w:pPr>
        <w:ind w:firstLine="0" w:firstLineChars="0"/>
        <w:rPr>
          <w:rFonts w:hint="eastAsia" w:ascii="宋体" w:hAnsi="宋体"/>
          <w:color w:val="auto"/>
        </w:rPr>
      </w:pPr>
      <w:r>
        <w:rPr>
          <w:rFonts w:hint="eastAsia" w:ascii="宋体" w:hAnsi="宋体"/>
          <w:color w:val="auto"/>
        </w:rPr>
        <w:t>比选申请人：</w:t>
      </w:r>
      <w:r>
        <w:rPr>
          <w:rFonts w:ascii="宋体" w:hAnsi="宋体"/>
          <w:color w:val="auto"/>
        </w:rPr>
        <w:t>_________________________</w:t>
      </w:r>
      <w:r>
        <w:rPr>
          <w:rFonts w:hint="eastAsia" w:ascii="宋体" w:hAnsi="宋体"/>
          <w:color w:val="auto"/>
        </w:rPr>
        <w:t>（盖单位公章）</w:t>
      </w:r>
    </w:p>
    <w:p>
      <w:pPr>
        <w:ind w:firstLine="0" w:firstLineChars="0"/>
        <w:rPr>
          <w:rFonts w:hint="eastAsia" w:ascii="宋体" w:hAnsi="宋体"/>
          <w:color w:val="auto"/>
        </w:rPr>
      </w:pPr>
    </w:p>
    <w:p>
      <w:pPr>
        <w:ind w:firstLine="0" w:firstLineChars="0"/>
        <w:rPr>
          <w:rFonts w:hint="eastAsia" w:ascii="宋体" w:hAnsi="宋体" w:eastAsia="宋体"/>
          <w:color w:val="auto"/>
          <w:lang w:val="en-US" w:eastAsia="zh-CN"/>
        </w:rPr>
      </w:pPr>
      <w:r>
        <w:rPr>
          <w:rFonts w:hint="eastAsia" w:ascii="宋体" w:hAnsi="宋体"/>
          <w:color w:val="auto"/>
          <w:lang w:val="en-US" w:eastAsia="zh-CN"/>
        </w:rPr>
        <w:t>日期：</w:t>
      </w:r>
    </w:p>
    <w:p>
      <w:pPr>
        <w:widowControl/>
        <w:ind w:firstLine="0" w:firstLineChars="0"/>
        <w:rPr>
          <w:rFonts w:ascii="宋体"/>
          <w:color w:val="auto"/>
        </w:rPr>
      </w:pPr>
      <w:r>
        <w:rPr>
          <w:rFonts w:ascii="宋体"/>
          <w:color w:val="auto"/>
        </w:rPr>
        <w:br w:type="page"/>
      </w:r>
    </w:p>
    <w:p>
      <w:pPr>
        <w:pStyle w:val="14"/>
        <w:spacing w:before="156" w:after="156"/>
        <w:rPr>
          <w:color w:val="auto"/>
        </w:rPr>
      </w:pPr>
      <w:bookmarkStart w:id="148" w:name="_Toc449699433"/>
      <w:bookmarkStart w:id="149" w:name="_Toc500403144"/>
      <w:bookmarkStart w:id="150" w:name="_Toc517640366"/>
      <w:bookmarkStart w:id="151" w:name="_Toc517640280"/>
      <w:bookmarkStart w:id="152" w:name="_Toc462131548"/>
      <w:bookmarkStart w:id="153" w:name="_Toc456648499"/>
      <w:bookmarkStart w:id="154" w:name="_Toc454834946"/>
      <w:bookmarkStart w:id="155" w:name="_Toc514083109"/>
      <w:r>
        <w:rPr>
          <w:color w:val="auto"/>
        </w:rPr>
        <w:t>二、法定代表人身份证明</w:t>
      </w:r>
      <w:bookmarkEnd w:id="148"/>
      <w:bookmarkEnd w:id="149"/>
      <w:bookmarkEnd w:id="150"/>
      <w:bookmarkEnd w:id="151"/>
      <w:bookmarkEnd w:id="152"/>
      <w:bookmarkEnd w:id="153"/>
      <w:bookmarkEnd w:id="154"/>
      <w:bookmarkEnd w:id="155"/>
    </w:p>
    <w:p>
      <w:pPr>
        <w:ind w:firstLine="0" w:firstLineChars="0"/>
        <w:jc w:val="center"/>
        <w:rPr>
          <w:rFonts w:ascii="宋体"/>
          <w:color w:val="auto"/>
          <w:sz w:val="30"/>
          <w:szCs w:val="30"/>
        </w:rPr>
      </w:pPr>
    </w:p>
    <w:p>
      <w:pPr>
        <w:ind w:firstLine="0" w:firstLineChars="0"/>
        <w:rPr>
          <w:rFonts w:ascii="宋体"/>
          <w:color w:val="auto"/>
        </w:rPr>
      </w:pPr>
      <w:r>
        <w:rPr>
          <w:rFonts w:hint="eastAsia" w:ascii="宋体" w:hAnsi="宋体"/>
          <w:color w:val="auto"/>
        </w:rPr>
        <w:t>比选申请人名称：</w:t>
      </w:r>
      <w:r>
        <w:rPr>
          <w:rFonts w:ascii="宋体" w:hAnsi="宋体"/>
          <w:color w:val="auto"/>
        </w:rPr>
        <w:t>_____________________________</w:t>
      </w:r>
    </w:p>
    <w:p>
      <w:pPr>
        <w:ind w:firstLine="0" w:firstLineChars="0"/>
        <w:rPr>
          <w:rFonts w:ascii="宋体"/>
          <w:color w:val="auto"/>
        </w:rPr>
      </w:pPr>
      <w:r>
        <w:rPr>
          <w:rFonts w:hint="eastAsia" w:ascii="宋体" w:hAnsi="宋体"/>
          <w:color w:val="auto"/>
        </w:rPr>
        <w:t>单位性质：</w:t>
      </w:r>
      <w:r>
        <w:rPr>
          <w:rFonts w:ascii="宋体" w:hAnsi="宋体"/>
          <w:color w:val="auto"/>
        </w:rPr>
        <w:t>____________________________</w:t>
      </w:r>
    </w:p>
    <w:p>
      <w:pPr>
        <w:ind w:firstLine="0" w:firstLineChars="0"/>
        <w:rPr>
          <w:rFonts w:ascii="宋体"/>
          <w:color w:val="auto"/>
        </w:rPr>
      </w:pPr>
      <w:r>
        <w:rPr>
          <w:rFonts w:hint="eastAsia" w:ascii="宋体" w:hAnsi="宋体"/>
          <w:color w:val="auto"/>
        </w:rPr>
        <w:t>地址：</w:t>
      </w:r>
      <w:r>
        <w:rPr>
          <w:rFonts w:ascii="宋体" w:hAnsi="宋体"/>
          <w:color w:val="auto"/>
        </w:rPr>
        <w:t>________________________________</w:t>
      </w:r>
    </w:p>
    <w:p>
      <w:pPr>
        <w:ind w:firstLine="0" w:firstLineChars="0"/>
        <w:rPr>
          <w:rFonts w:ascii="宋体"/>
          <w:color w:val="auto"/>
        </w:rPr>
      </w:pPr>
      <w:r>
        <w:rPr>
          <w:rFonts w:hint="eastAsia" w:ascii="宋体" w:hAnsi="宋体"/>
          <w:color w:val="auto"/>
        </w:rPr>
        <w:t>成立时间：</w:t>
      </w:r>
      <w:r>
        <w:rPr>
          <w:rFonts w:ascii="宋体" w:hAnsi="宋体"/>
          <w:color w:val="auto"/>
        </w:rPr>
        <w:t>________</w:t>
      </w:r>
      <w:r>
        <w:rPr>
          <w:rFonts w:hint="eastAsia" w:ascii="宋体" w:hAnsi="宋体"/>
          <w:color w:val="auto"/>
        </w:rPr>
        <w:t>年</w:t>
      </w:r>
      <w:r>
        <w:rPr>
          <w:rFonts w:ascii="宋体" w:hAnsi="宋体"/>
          <w:color w:val="auto"/>
        </w:rPr>
        <w:t>_______</w:t>
      </w:r>
      <w:r>
        <w:rPr>
          <w:rFonts w:hint="eastAsia" w:ascii="宋体" w:hAnsi="宋体"/>
          <w:color w:val="auto"/>
        </w:rPr>
        <w:t>月</w:t>
      </w:r>
      <w:r>
        <w:rPr>
          <w:rFonts w:ascii="宋体" w:hAnsi="宋体"/>
          <w:color w:val="auto"/>
        </w:rPr>
        <w:t>________</w:t>
      </w:r>
      <w:r>
        <w:rPr>
          <w:rFonts w:hint="eastAsia" w:ascii="宋体" w:hAnsi="宋体"/>
          <w:color w:val="auto"/>
        </w:rPr>
        <w:t>日</w:t>
      </w:r>
    </w:p>
    <w:p>
      <w:pPr>
        <w:ind w:firstLine="0" w:firstLineChars="0"/>
        <w:rPr>
          <w:rFonts w:ascii="宋体"/>
          <w:color w:val="auto"/>
        </w:rPr>
      </w:pPr>
      <w:r>
        <w:rPr>
          <w:rFonts w:hint="eastAsia" w:ascii="宋体" w:hAnsi="宋体"/>
          <w:color w:val="auto"/>
        </w:rPr>
        <w:t>经营期限：</w:t>
      </w:r>
      <w:r>
        <w:rPr>
          <w:rFonts w:ascii="宋体" w:hAnsi="宋体"/>
          <w:color w:val="auto"/>
        </w:rPr>
        <w:t>____________________________</w:t>
      </w:r>
    </w:p>
    <w:p>
      <w:pPr>
        <w:ind w:firstLine="0" w:firstLineChars="0"/>
        <w:rPr>
          <w:rFonts w:ascii="宋体"/>
          <w:color w:val="auto"/>
        </w:rPr>
      </w:pPr>
      <w:r>
        <w:rPr>
          <w:rFonts w:hint="eastAsia" w:ascii="宋体" w:hAnsi="宋体"/>
          <w:color w:val="auto"/>
        </w:rPr>
        <w:t>姓名：</w:t>
      </w:r>
      <w:r>
        <w:rPr>
          <w:rFonts w:ascii="宋体" w:hAnsi="宋体"/>
          <w:color w:val="auto"/>
        </w:rPr>
        <w:t>________</w:t>
      </w:r>
      <w:r>
        <w:rPr>
          <w:rFonts w:hint="eastAsia" w:ascii="宋体" w:hAnsi="宋体"/>
          <w:color w:val="auto"/>
        </w:rPr>
        <w:t>性别：</w:t>
      </w:r>
      <w:r>
        <w:rPr>
          <w:rFonts w:ascii="宋体" w:hAnsi="宋体"/>
          <w:color w:val="auto"/>
        </w:rPr>
        <w:t>________</w:t>
      </w:r>
      <w:r>
        <w:rPr>
          <w:rFonts w:hint="eastAsia" w:ascii="宋体" w:hAnsi="宋体"/>
          <w:color w:val="auto"/>
        </w:rPr>
        <w:t>年龄：</w:t>
      </w:r>
      <w:r>
        <w:rPr>
          <w:rFonts w:ascii="宋体" w:hAnsi="宋体"/>
          <w:color w:val="auto"/>
        </w:rPr>
        <w:t>________</w:t>
      </w:r>
      <w:r>
        <w:rPr>
          <w:rFonts w:hint="eastAsia" w:ascii="宋体" w:hAnsi="宋体"/>
          <w:color w:val="auto"/>
        </w:rPr>
        <w:t>职务：</w:t>
      </w:r>
      <w:r>
        <w:rPr>
          <w:rFonts w:ascii="宋体" w:hAnsi="宋体"/>
          <w:color w:val="auto"/>
        </w:rPr>
        <w:t>________</w:t>
      </w:r>
    </w:p>
    <w:p>
      <w:pPr>
        <w:ind w:firstLine="0" w:firstLineChars="0"/>
        <w:rPr>
          <w:rFonts w:ascii="宋体"/>
          <w:color w:val="auto"/>
        </w:rPr>
      </w:pPr>
      <w:r>
        <w:rPr>
          <w:rFonts w:hint="eastAsia" w:ascii="宋体" w:hAnsi="宋体"/>
          <w:color w:val="auto"/>
        </w:rPr>
        <w:t>系</w:t>
      </w:r>
      <w:r>
        <w:rPr>
          <w:rFonts w:ascii="宋体" w:hAnsi="宋体"/>
          <w:color w:val="auto"/>
        </w:rPr>
        <w:t>_____________________________</w:t>
      </w:r>
      <w:r>
        <w:rPr>
          <w:rFonts w:hint="eastAsia" w:ascii="宋体" w:hAnsi="宋体"/>
          <w:color w:val="auto"/>
        </w:rPr>
        <w:t>（比选申请人全称）的法定代表人。</w:t>
      </w:r>
    </w:p>
    <w:p>
      <w:pPr>
        <w:ind w:firstLine="0" w:firstLineChars="0"/>
        <w:rPr>
          <w:rFonts w:ascii="宋体"/>
          <w:color w:val="auto"/>
        </w:rPr>
      </w:pPr>
    </w:p>
    <w:p>
      <w:pPr>
        <w:ind w:firstLine="0" w:firstLineChars="0"/>
        <w:rPr>
          <w:rFonts w:ascii="宋体"/>
          <w:color w:val="auto"/>
        </w:rPr>
      </w:pPr>
      <w:r>
        <w:rPr>
          <w:rFonts w:hint="eastAsia" w:ascii="宋体" w:hAnsi="宋体"/>
          <w:color w:val="auto"/>
        </w:rPr>
        <w:t>特此证明。</w:t>
      </w:r>
    </w:p>
    <w:p>
      <w:pPr>
        <w:ind w:firstLine="0" w:firstLineChars="0"/>
        <w:rPr>
          <w:rFonts w:ascii="宋体"/>
          <w:color w:val="auto"/>
        </w:rPr>
      </w:pPr>
    </w:p>
    <w:p>
      <w:pPr>
        <w:ind w:firstLine="0" w:firstLineChars="0"/>
        <w:rPr>
          <w:rFonts w:ascii="宋体"/>
          <w:color w:val="auto"/>
        </w:rPr>
      </w:pPr>
      <w:r>
        <w:rPr>
          <w:rFonts w:hint="eastAsia" w:ascii="宋体" w:hAnsi="宋体"/>
          <w:color w:val="auto"/>
        </w:rPr>
        <w:t>比选申请人：</w:t>
      </w:r>
      <w:r>
        <w:rPr>
          <w:rFonts w:ascii="宋体" w:hAnsi="宋体"/>
          <w:color w:val="auto"/>
        </w:rPr>
        <w:t>___________________</w:t>
      </w:r>
      <w:r>
        <w:rPr>
          <w:rFonts w:hint="eastAsia" w:ascii="宋体" w:hAnsi="宋体"/>
          <w:color w:val="auto"/>
        </w:rPr>
        <w:t>（盖单位行政公章）</w:t>
      </w:r>
    </w:p>
    <w:p>
      <w:pPr>
        <w:ind w:right="600" w:firstLine="0" w:firstLineChars="0"/>
        <w:rPr>
          <w:rFonts w:ascii="宋体"/>
          <w:color w:val="auto"/>
        </w:rPr>
      </w:pPr>
      <w:r>
        <w:rPr>
          <w:rFonts w:ascii="宋体" w:hAnsi="宋体"/>
          <w:color w:val="auto"/>
        </w:rPr>
        <w:t>_____</w:t>
      </w:r>
      <w:r>
        <w:rPr>
          <w:rFonts w:hint="eastAsia" w:ascii="宋体" w:hAnsi="宋体"/>
          <w:color w:val="auto"/>
        </w:rPr>
        <w:t>年</w:t>
      </w:r>
      <w:r>
        <w:rPr>
          <w:rFonts w:hint="eastAsia" w:ascii="宋体" w:hAnsi="宋体"/>
          <w:color w:val="auto"/>
          <w:lang w:val="en-US" w:eastAsia="zh-CN"/>
        </w:rPr>
        <w:t xml:space="preserve"> </w:t>
      </w:r>
      <w:r>
        <w:rPr>
          <w:rFonts w:hint="eastAsia" w:ascii="宋体" w:hAnsi="宋体"/>
          <w:color w:val="auto"/>
        </w:rPr>
        <w:t>月</w:t>
      </w:r>
      <w:r>
        <w:rPr>
          <w:rFonts w:hint="eastAsia" w:ascii="宋体" w:hAnsi="宋体"/>
          <w:color w:val="auto"/>
          <w:lang w:val="en-US" w:eastAsia="zh-CN"/>
        </w:rPr>
        <w:t xml:space="preserve"> </w:t>
      </w:r>
      <w:r>
        <w:rPr>
          <w:rFonts w:hint="eastAsia" w:ascii="宋体" w:hAnsi="宋体"/>
          <w:color w:val="auto"/>
        </w:rPr>
        <w:t>日</w:t>
      </w:r>
    </w:p>
    <w:p>
      <w:pPr>
        <w:ind w:firstLine="0" w:firstLineChars="0"/>
        <w:rPr>
          <w:rFonts w:ascii="宋体"/>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122555</wp:posOffset>
                </wp:positionV>
                <wp:extent cx="5514975" cy="2552065"/>
                <wp:effectExtent l="4445" t="5080" r="5080" b="14605"/>
                <wp:wrapNone/>
                <wp:docPr id="1" name="Quad Arrow 2"/>
                <wp:cNvGraphicFramePr/>
                <a:graphic xmlns:a="http://schemas.openxmlformats.org/drawingml/2006/main">
                  <a:graphicData uri="http://schemas.microsoft.com/office/word/2010/wordprocessingShape">
                    <wps:wsp>
                      <wps:cNvSpPr txBox="1"/>
                      <wps:spPr>
                        <a:xfrm>
                          <a:off x="0" y="0"/>
                          <a:ext cx="5514975" cy="25520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ind w:firstLine="480"/>
                              <w:rPr>
                                <w:rFonts w:hint="eastAsia"/>
                              </w:rPr>
                            </w:pPr>
                            <w:r>
                              <w:rPr>
                                <w:rFonts w:hint="eastAsia"/>
                              </w:rPr>
                              <w:t>法定代表人身份证复印件：</w:t>
                            </w:r>
                          </w:p>
                          <w:p>
                            <w:pPr>
                              <w:ind w:firstLine="480"/>
                              <w:rPr>
                                <w:rFonts w:hint="eastAsia"/>
                              </w:rPr>
                            </w:pPr>
                          </w:p>
                          <w:p>
                            <w:pPr>
                              <w:ind w:firstLine="480"/>
                              <w:rPr>
                                <w:rFonts w:hint="eastAsia"/>
                              </w:rPr>
                            </w:pPr>
                          </w:p>
                          <w:p>
                            <w:pPr>
                              <w:ind w:firstLine="480"/>
                              <w:rPr>
                                <w:rFonts w:hint="eastAsia"/>
                              </w:rPr>
                            </w:pPr>
                          </w:p>
                          <w:p>
                            <w:pPr>
                              <w:ind w:firstLine="480"/>
                              <w:rPr>
                                <w:rFonts w:hint="default" w:eastAsia="宋体"/>
                                <w:lang w:val="en-US" w:eastAsia="zh-CN"/>
                              </w:rPr>
                            </w:pPr>
                            <w:r>
                              <w:rPr>
                                <w:rFonts w:hint="eastAsia"/>
                                <w:lang w:val="en-US" w:eastAsia="zh-CN"/>
                              </w:rPr>
                              <w:t>正面                                              反面</w:t>
                            </w:r>
                          </w:p>
                        </w:txbxContent>
                      </wps:txbx>
                      <wps:bodyPr upright="1"/>
                    </wps:wsp>
                  </a:graphicData>
                </a:graphic>
              </wp:anchor>
            </w:drawing>
          </mc:Choice>
          <mc:Fallback>
            <w:pict>
              <v:shape id="Quad Arrow 2" o:spid="_x0000_s1026" o:spt="202" type="#_x0000_t202" style="position:absolute;left:0pt;margin-left:6.75pt;margin-top:9.65pt;height:200.95pt;width:434.25pt;z-index:251659264;mso-width-relative:page;mso-height-relative:page;" fillcolor="#FFFFFF" filled="t" stroked="t" coordsize="21600,21600" o:gfxdata="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TvPr1wAAAAkB&#10;AAAPAAAAAAAAAAEAIAAAACIAAABkcnMvZG93bnJldi54bWxQSwECFAAUAAAACACHTuJAPCgWp+MB&#10;AADpAwAADgAAAAAAAAABACAAAAAmAQAAZHJzL2Uyb0RvYy54bWxQSwUGAAAAAAYABgBZAQAAewUA&#10;AAAA&#10;">
                <v:fill on="t" focussize="0,0"/>
                <v:stroke color="#000000" joinstyle="miter" dashstyle="dash"/>
                <v:imagedata o:title=""/>
                <o:lock v:ext="edit" aspectratio="f"/>
                <v:textbox>
                  <w:txbxContent>
                    <w:p>
                      <w:pPr>
                        <w:ind w:firstLine="480"/>
                        <w:rPr>
                          <w:rFonts w:hint="eastAsia"/>
                        </w:rPr>
                      </w:pPr>
                      <w:r>
                        <w:rPr>
                          <w:rFonts w:hint="eastAsia"/>
                        </w:rPr>
                        <w:t>法定代表人身份证复印件：</w:t>
                      </w:r>
                    </w:p>
                    <w:p>
                      <w:pPr>
                        <w:ind w:firstLine="480"/>
                        <w:rPr>
                          <w:rFonts w:hint="eastAsia"/>
                        </w:rPr>
                      </w:pPr>
                    </w:p>
                    <w:p>
                      <w:pPr>
                        <w:ind w:firstLine="480"/>
                        <w:rPr>
                          <w:rFonts w:hint="eastAsia"/>
                        </w:rPr>
                      </w:pPr>
                    </w:p>
                    <w:p>
                      <w:pPr>
                        <w:ind w:firstLine="480"/>
                        <w:rPr>
                          <w:rFonts w:hint="eastAsia"/>
                        </w:rPr>
                      </w:pPr>
                    </w:p>
                    <w:p>
                      <w:pPr>
                        <w:ind w:firstLine="480"/>
                        <w:rPr>
                          <w:rFonts w:hint="default" w:eastAsia="宋体"/>
                          <w:lang w:val="en-US" w:eastAsia="zh-CN"/>
                        </w:rPr>
                      </w:pPr>
                      <w:r>
                        <w:rPr>
                          <w:rFonts w:hint="eastAsia"/>
                          <w:lang w:val="en-US" w:eastAsia="zh-CN"/>
                        </w:rPr>
                        <w:t>正面                                              反面</w:t>
                      </w:r>
                    </w:p>
                  </w:txbxContent>
                </v:textbox>
              </v:shape>
            </w:pict>
          </mc:Fallback>
        </mc:AlternateContent>
      </w: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ind w:firstLine="0" w:firstLineChars="0"/>
        <w:rPr>
          <w:rFonts w:ascii="宋体"/>
          <w:color w:val="auto"/>
        </w:rPr>
      </w:pPr>
    </w:p>
    <w:p>
      <w:pPr>
        <w:widowControl/>
        <w:ind w:firstLine="0" w:firstLineChars="0"/>
        <w:rPr>
          <w:rFonts w:ascii="宋体"/>
          <w:b/>
          <w:color w:val="auto"/>
          <w:sz w:val="32"/>
          <w:szCs w:val="32"/>
        </w:rPr>
      </w:pPr>
      <w:bookmarkStart w:id="156" w:name="_Toc449699434"/>
      <w:bookmarkStart w:id="157" w:name="_Toc500403145"/>
      <w:r>
        <w:rPr>
          <w:rFonts w:ascii="宋体"/>
          <w:b/>
          <w:color w:val="auto"/>
          <w:sz w:val="32"/>
          <w:szCs w:val="32"/>
        </w:rPr>
        <w:br w:type="page"/>
      </w:r>
    </w:p>
    <w:p>
      <w:pPr>
        <w:pStyle w:val="14"/>
        <w:spacing w:before="156" w:after="156"/>
        <w:rPr>
          <w:color w:val="auto"/>
        </w:rPr>
      </w:pPr>
      <w:bookmarkStart w:id="158" w:name="_Toc517640367"/>
      <w:bookmarkStart w:id="159" w:name="_Toc517640281"/>
      <w:bookmarkStart w:id="160" w:name="_Toc462131549"/>
      <w:bookmarkStart w:id="161" w:name="_Toc456648500"/>
      <w:bookmarkStart w:id="162" w:name="_Toc454834947"/>
      <w:bookmarkStart w:id="163" w:name="_Toc514083110"/>
      <w:r>
        <w:rPr>
          <w:color w:val="auto"/>
        </w:rPr>
        <w:t>三、法定代表人授权委托书</w:t>
      </w:r>
      <w:bookmarkEnd w:id="156"/>
      <w:bookmarkEnd w:id="157"/>
      <w:bookmarkEnd w:id="158"/>
      <w:bookmarkEnd w:id="159"/>
      <w:bookmarkEnd w:id="160"/>
      <w:bookmarkEnd w:id="161"/>
      <w:bookmarkEnd w:id="162"/>
      <w:bookmarkEnd w:id="163"/>
    </w:p>
    <w:p>
      <w:pPr>
        <w:ind w:firstLine="0" w:firstLineChars="0"/>
        <w:rPr>
          <w:rFonts w:hint="eastAsia" w:ascii="宋体" w:hAnsi="宋体" w:eastAsia="宋体"/>
          <w:color w:val="auto"/>
          <w:lang w:eastAsia="zh-CN"/>
        </w:rPr>
      </w:pPr>
      <w:r>
        <w:rPr>
          <w:rFonts w:hint="eastAsia" w:ascii="宋体" w:hAnsi="宋体"/>
          <w:color w:val="auto"/>
        </w:rPr>
        <w:t>四川省</w:t>
      </w:r>
      <w:r>
        <w:rPr>
          <w:rFonts w:hint="eastAsia" w:ascii="宋体" w:hAnsi="宋体"/>
          <w:color w:val="auto"/>
          <w:lang w:val="en-US" w:eastAsia="zh-CN"/>
        </w:rPr>
        <w:t>国有资产经营投资管理有限责任公司</w:t>
      </w:r>
      <w:r>
        <w:rPr>
          <w:rFonts w:hint="eastAsia" w:ascii="宋体" w:hAnsi="宋体"/>
          <w:color w:val="auto"/>
          <w:lang w:eastAsia="zh-CN"/>
        </w:rPr>
        <w:t>：</w:t>
      </w:r>
    </w:p>
    <w:p>
      <w:pPr>
        <w:ind w:firstLine="490" w:firstLineChars="200"/>
        <w:rPr>
          <w:rFonts w:ascii="宋体"/>
          <w:color w:val="auto"/>
        </w:rPr>
      </w:pPr>
      <w:r>
        <w:rPr>
          <w:rFonts w:hint="eastAsia" w:ascii="宋体" w:hAnsi="宋体"/>
          <w:color w:val="auto"/>
        </w:rPr>
        <w:t>本人</w:t>
      </w:r>
      <w:r>
        <w:rPr>
          <w:rFonts w:ascii="宋体" w:hAnsi="宋体"/>
          <w:color w:val="auto"/>
          <w:u w:val="single"/>
        </w:rPr>
        <w:t>(</w:t>
      </w:r>
      <w:r>
        <w:rPr>
          <w:rFonts w:hint="eastAsia" w:ascii="宋体" w:hAnsi="宋体"/>
          <w:color w:val="auto"/>
          <w:u w:val="single"/>
        </w:rPr>
        <w:t>姓名</w:t>
      </w:r>
      <w:r>
        <w:rPr>
          <w:rFonts w:ascii="宋体" w:hAnsi="宋体"/>
          <w:color w:val="auto"/>
          <w:u w:val="single"/>
        </w:rPr>
        <w:t>)</w:t>
      </w:r>
      <w:r>
        <w:rPr>
          <w:rFonts w:hint="eastAsia" w:ascii="宋体" w:hAnsi="宋体"/>
          <w:color w:val="auto"/>
        </w:rPr>
        <w:t>系</w:t>
      </w:r>
      <w:r>
        <w:rPr>
          <w:rFonts w:ascii="宋体" w:hAnsi="宋体"/>
          <w:color w:val="auto"/>
          <w:u w:val="single"/>
        </w:rPr>
        <w:t>(</w:t>
      </w:r>
      <w:r>
        <w:rPr>
          <w:rFonts w:hint="eastAsia" w:ascii="宋体" w:hAnsi="宋体"/>
          <w:color w:val="auto"/>
          <w:u w:val="single"/>
        </w:rPr>
        <w:t>比选申请人全称</w:t>
      </w:r>
      <w:r>
        <w:rPr>
          <w:rFonts w:ascii="宋体" w:hAnsi="宋体"/>
          <w:color w:val="auto"/>
          <w:u w:val="single"/>
        </w:rPr>
        <w:t>)</w:t>
      </w:r>
      <w:r>
        <w:rPr>
          <w:rFonts w:hint="eastAsia" w:ascii="宋体" w:hAnsi="宋体"/>
          <w:color w:val="auto"/>
        </w:rPr>
        <w:t>的法定代表人，现委托</w:t>
      </w:r>
      <w:r>
        <w:rPr>
          <w:rFonts w:ascii="宋体" w:hAnsi="宋体"/>
          <w:color w:val="auto"/>
        </w:rPr>
        <w:t>_______(</w:t>
      </w:r>
      <w:r>
        <w:rPr>
          <w:rFonts w:hint="eastAsia" w:ascii="宋体" w:hAnsi="宋体"/>
          <w:color w:val="auto"/>
        </w:rPr>
        <w:t>姓名</w:t>
      </w:r>
      <w:r>
        <w:rPr>
          <w:rFonts w:ascii="宋体" w:hAnsi="宋体"/>
          <w:color w:val="auto"/>
        </w:rPr>
        <w:t>)</w:t>
      </w:r>
      <w:r>
        <w:rPr>
          <w:rFonts w:hint="eastAsia" w:ascii="宋体" w:hAnsi="宋体"/>
          <w:color w:val="auto"/>
        </w:rPr>
        <w:t>为我方代理人。代理人根据授权，以我方名义签署、澄清、说明、补正、递交、撤回、修改</w:t>
      </w:r>
      <w:r>
        <w:rPr>
          <w:rFonts w:hint="eastAsia" w:ascii="宋体" w:hAnsi="宋体"/>
          <w:color w:val="auto"/>
          <w:szCs w:val="24"/>
          <w:lang w:val="zh-CN"/>
        </w:rPr>
        <w:t>项目我方</w:t>
      </w:r>
      <w:r>
        <w:rPr>
          <w:rFonts w:hint="eastAsia" w:ascii="宋体" w:hAnsi="宋体"/>
          <w:color w:val="auto"/>
        </w:rPr>
        <w:t>比选申请文件、签订合同和处理有关事宜，其法律后果由我方承担。</w:t>
      </w:r>
    </w:p>
    <w:p>
      <w:pPr>
        <w:ind w:firstLine="0" w:firstLineChars="0"/>
        <w:rPr>
          <w:rFonts w:ascii="宋体"/>
          <w:color w:val="auto"/>
        </w:rPr>
      </w:pPr>
      <w:r>
        <w:rPr>
          <w:rFonts w:hint="eastAsia" w:ascii="宋体" w:hAnsi="宋体"/>
          <w:color w:val="auto"/>
        </w:rPr>
        <w:t>委托期限：</w:t>
      </w:r>
      <w:r>
        <w:rPr>
          <w:rFonts w:hint="eastAsia" w:ascii="宋体" w:hAnsi="宋体"/>
          <w:color w:val="auto"/>
          <w:u w:val="single"/>
        </w:rPr>
        <w:t>本授权书签字之日起至递交比选申请文件有效期截止期间</w:t>
      </w:r>
      <w:r>
        <w:rPr>
          <w:rFonts w:hint="eastAsia" w:ascii="宋体" w:hAnsi="宋体"/>
          <w:color w:val="auto"/>
        </w:rPr>
        <w:t>。</w:t>
      </w:r>
    </w:p>
    <w:p>
      <w:pPr>
        <w:ind w:firstLine="0" w:firstLineChars="0"/>
        <w:rPr>
          <w:rFonts w:ascii="宋体"/>
          <w:color w:val="auto"/>
        </w:rPr>
      </w:pPr>
      <w:r>
        <w:rPr>
          <w:rFonts w:hint="eastAsia" w:ascii="宋体" w:hAnsi="宋体"/>
          <w:color w:val="auto"/>
        </w:rPr>
        <w:t>代理人无转委托权。</w:t>
      </w:r>
    </w:p>
    <w:p>
      <w:pPr>
        <w:ind w:firstLine="0" w:firstLineChars="0"/>
        <w:rPr>
          <w:rFonts w:ascii="宋体"/>
          <w:color w:val="auto"/>
        </w:rPr>
      </w:pPr>
      <w:r>
        <w:rPr>
          <w:rFonts w:hint="eastAsia" w:ascii="宋体" w:hAnsi="宋体"/>
          <w:color w:val="auto"/>
        </w:rPr>
        <w:t>附：有效的法定代表人身份证复印件、被授权代理人身份证复印件</w:t>
      </w:r>
    </w:p>
    <w:p>
      <w:pPr>
        <w:ind w:firstLine="0" w:firstLineChars="0"/>
        <w:rPr>
          <w:rFonts w:ascii="宋体"/>
          <w:color w:val="auto"/>
        </w:rPr>
      </w:pPr>
    </w:p>
    <w:tbl>
      <w:tblPr>
        <w:tblStyle w:val="17"/>
        <w:tblW w:w="10260" w:type="dxa"/>
        <w:tblInd w:w="-43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130"/>
        <w:gridCol w:w="513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5130" w:type="dxa"/>
            <w:vAlign w:val="center"/>
          </w:tcPr>
          <w:p>
            <w:pPr>
              <w:ind w:firstLine="0" w:firstLineChars="0"/>
              <w:rPr>
                <w:rFonts w:ascii="宋体"/>
                <w:color w:val="auto"/>
              </w:rPr>
            </w:pPr>
            <w:r>
              <w:rPr>
                <w:rFonts w:hint="eastAsia" w:ascii="宋体" w:hAnsi="宋体"/>
                <w:color w:val="auto"/>
              </w:rPr>
              <w:t>法定代表人：</w:t>
            </w:r>
            <w:r>
              <w:rPr>
                <w:rFonts w:ascii="宋体" w:hAnsi="宋体"/>
                <w:color w:val="auto"/>
              </w:rPr>
              <w:t>(</w:t>
            </w:r>
            <w:r>
              <w:rPr>
                <w:rFonts w:hint="eastAsia" w:ascii="宋体" w:hAnsi="宋体"/>
                <w:color w:val="auto"/>
              </w:rPr>
              <w:t>签字</w:t>
            </w:r>
            <w:r>
              <w:rPr>
                <w:rFonts w:ascii="宋体" w:hAnsi="宋体"/>
                <w:color w:val="auto"/>
              </w:rPr>
              <w:t>)</w:t>
            </w:r>
          </w:p>
        </w:tc>
        <w:tc>
          <w:tcPr>
            <w:tcW w:w="5130" w:type="dxa"/>
            <w:vAlign w:val="center"/>
          </w:tcPr>
          <w:p>
            <w:pPr>
              <w:ind w:firstLine="0" w:firstLineChars="0"/>
              <w:rPr>
                <w:rFonts w:ascii="宋体"/>
                <w:color w:val="auto"/>
              </w:rPr>
            </w:pPr>
            <w:r>
              <w:rPr>
                <w:rFonts w:hint="eastAsia" w:ascii="宋体" w:hAnsi="宋体"/>
                <w:color w:val="auto"/>
              </w:rPr>
              <w:t>被授权代理人：</w:t>
            </w:r>
            <w:r>
              <w:rPr>
                <w:rFonts w:ascii="宋体" w:hAnsi="宋体"/>
                <w:color w:val="auto"/>
              </w:rPr>
              <w:t>(</w:t>
            </w:r>
            <w:r>
              <w:rPr>
                <w:rFonts w:hint="eastAsia" w:ascii="宋体" w:hAnsi="宋体"/>
                <w:color w:val="auto"/>
              </w:rPr>
              <w:t>签字</w:t>
            </w:r>
            <w:r>
              <w:rPr>
                <w:rFonts w:ascii="宋体" w:hAnsi="宋体"/>
                <w:color w:val="auto"/>
              </w:rPr>
              <w:t>)</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5130" w:type="dxa"/>
            <w:vAlign w:val="center"/>
          </w:tcPr>
          <w:p>
            <w:pPr>
              <w:ind w:firstLine="0" w:firstLineChars="0"/>
              <w:rPr>
                <w:rFonts w:ascii="宋体"/>
                <w:color w:val="auto"/>
              </w:rPr>
            </w:pPr>
          </w:p>
        </w:tc>
        <w:tc>
          <w:tcPr>
            <w:tcW w:w="5130" w:type="dxa"/>
            <w:vAlign w:val="center"/>
          </w:tcPr>
          <w:p>
            <w:pPr>
              <w:ind w:firstLine="0" w:firstLineChars="0"/>
              <w:rPr>
                <w:rFonts w:ascii="宋体"/>
                <w:color w:val="auto"/>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5130" w:type="dxa"/>
            <w:vAlign w:val="center"/>
          </w:tcPr>
          <w:p>
            <w:pPr>
              <w:ind w:firstLine="0" w:firstLineChars="0"/>
              <w:rPr>
                <w:rFonts w:ascii="宋体"/>
                <w:color w:val="auto"/>
              </w:rPr>
            </w:pPr>
            <w:r>
              <w:rPr>
                <w:rFonts w:hint="eastAsia" w:ascii="宋体" w:hAnsi="宋体"/>
                <w:color w:val="auto"/>
              </w:rPr>
              <w:t>身份证号码：</w:t>
            </w:r>
          </w:p>
        </w:tc>
        <w:tc>
          <w:tcPr>
            <w:tcW w:w="5130" w:type="dxa"/>
            <w:vAlign w:val="center"/>
          </w:tcPr>
          <w:p>
            <w:pPr>
              <w:ind w:firstLine="0" w:firstLineChars="0"/>
              <w:rPr>
                <w:rFonts w:ascii="宋体"/>
                <w:color w:val="auto"/>
              </w:rPr>
            </w:pPr>
            <w:r>
              <w:rPr>
                <w:rFonts w:hint="eastAsia" w:ascii="宋体" w:hAnsi="宋体"/>
                <w:color w:val="auto"/>
              </w:rPr>
              <w:t>身份证号码：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5130" w:type="dxa"/>
            <w:vAlign w:val="center"/>
          </w:tcPr>
          <w:p>
            <w:pPr>
              <w:ind w:firstLine="0" w:firstLineChars="0"/>
              <w:rPr>
                <w:rFonts w:ascii="宋体"/>
                <w:color w:val="auto"/>
              </w:rPr>
            </w:pPr>
          </w:p>
        </w:tc>
        <w:tc>
          <w:tcPr>
            <w:tcW w:w="5130" w:type="dxa"/>
            <w:vAlign w:val="center"/>
          </w:tcPr>
          <w:p>
            <w:pPr>
              <w:ind w:firstLine="0" w:firstLineChars="0"/>
              <w:rPr>
                <w:rFonts w:ascii="宋体"/>
                <w:color w:val="auto"/>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59" w:hRule="atLeast"/>
        </w:trPr>
        <w:tc>
          <w:tcPr>
            <w:tcW w:w="5130" w:type="dxa"/>
          </w:tcPr>
          <w:p>
            <w:pPr>
              <w:ind w:firstLine="0" w:firstLineChars="0"/>
              <w:rPr>
                <w:rFonts w:ascii="宋体"/>
                <w:color w:val="auto"/>
              </w:rPr>
            </w:pPr>
            <w:r>
              <w:rPr>
                <w:rFonts w:hint="eastAsia" w:ascii="宋体" w:hAnsi="宋体"/>
                <w:color w:val="auto"/>
              </w:rPr>
              <w:t>身份证复印件：</w:t>
            </w:r>
          </w:p>
        </w:tc>
        <w:tc>
          <w:tcPr>
            <w:tcW w:w="5130" w:type="dxa"/>
          </w:tcPr>
          <w:p>
            <w:pPr>
              <w:ind w:firstLine="0" w:firstLineChars="0"/>
              <w:rPr>
                <w:rFonts w:ascii="宋体"/>
                <w:color w:val="auto"/>
              </w:rPr>
            </w:pPr>
            <w:r>
              <w:rPr>
                <w:rFonts w:hint="eastAsia" w:ascii="宋体" w:hAnsi="宋体"/>
                <w:color w:val="auto"/>
              </w:rPr>
              <w:t>身份证复印件：</w:t>
            </w:r>
          </w:p>
        </w:tc>
      </w:tr>
    </w:tbl>
    <w:p>
      <w:pPr>
        <w:ind w:firstLine="0" w:firstLineChars="0"/>
        <w:rPr>
          <w:rFonts w:ascii="宋体"/>
          <w:color w:val="auto"/>
        </w:rPr>
      </w:pPr>
    </w:p>
    <w:p>
      <w:pPr>
        <w:ind w:right="600" w:firstLine="0" w:firstLineChars="0"/>
        <w:jc w:val="right"/>
        <w:rPr>
          <w:rFonts w:ascii="宋体"/>
          <w:color w:val="auto"/>
        </w:rPr>
      </w:pPr>
      <w:r>
        <w:rPr>
          <w:rFonts w:ascii="宋体" w:hAnsi="宋体"/>
          <w:color w:val="auto"/>
        </w:rPr>
        <w:t>_____</w:t>
      </w:r>
      <w:r>
        <w:rPr>
          <w:rFonts w:hint="eastAsia" w:ascii="宋体" w:hAnsi="宋体"/>
          <w:color w:val="auto"/>
        </w:rPr>
        <w:t>年月日</w:t>
      </w:r>
    </w:p>
    <w:p>
      <w:pPr>
        <w:ind w:firstLine="0" w:firstLineChars="0"/>
        <w:rPr>
          <w:color w:val="auto"/>
        </w:rPr>
      </w:pPr>
    </w:p>
    <w:p>
      <w:pPr>
        <w:pStyle w:val="14"/>
        <w:spacing w:before="156" w:after="156"/>
        <w:rPr>
          <w:rFonts w:ascii="宋体"/>
          <w:b w:val="0"/>
          <w:color w:val="auto"/>
        </w:rPr>
      </w:pPr>
      <w:bookmarkStart w:id="164" w:name="_Toc456648503"/>
      <w:bookmarkStart w:id="165" w:name="_Toc449699437"/>
      <w:bookmarkStart w:id="166" w:name="_Toc454834950"/>
      <w:bookmarkStart w:id="167" w:name="_Toc462131552"/>
      <w:r>
        <w:rPr>
          <w:rFonts w:ascii="宋体"/>
          <w:b w:val="0"/>
          <w:color w:val="auto"/>
        </w:rPr>
        <w:br w:type="page"/>
      </w:r>
      <w:bookmarkStart w:id="168" w:name="_Toc514083111"/>
      <w:bookmarkStart w:id="169" w:name="_Toc517640368"/>
      <w:bookmarkStart w:id="170" w:name="_Toc517640282"/>
      <w:r>
        <w:rPr>
          <w:color w:val="auto"/>
        </w:rPr>
        <w:t>四、资格审查资料</w:t>
      </w:r>
      <w:bookmarkEnd w:id="164"/>
      <w:bookmarkEnd w:id="165"/>
      <w:bookmarkEnd w:id="166"/>
      <w:bookmarkEnd w:id="167"/>
      <w:bookmarkEnd w:id="168"/>
      <w:bookmarkEnd w:id="169"/>
      <w:bookmarkEnd w:id="170"/>
    </w:p>
    <w:p>
      <w:pPr>
        <w:ind w:firstLine="0" w:firstLineChars="0"/>
        <w:jc w:val="center"/>
        <w:rPr>
          <w:rFonts w:ascii="宋体"/>
          <w:b/>
          <w:color w:val="auto"/>
          <w:sz w:val="32"/>
          <w:szCs w:val="32"/>
        </w:rPr>
      </w:pPr>
      <w:r>
        <w:rPr>
          <w:rFonts w:hint="eastAsia" w:ascii="宋体" w:hAnsi="宋体"/>
          <w:b/>
          <w:color w:val="auto"/>
          <w:sz w:val="32"/>
          <w:szCs w:val="32"/>
        </w:rPr>
        <w:t>比选申请人基本情况一览表</w:t>
      </w:r>
    </w:p>
    <w:tbl>
      <w:tblPr>
        <w:tblStyle w:val="17"/>
        <w:tblW w:w="97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160"/>
        <w:gridCol w:w="1440"/>
        <w:gridCol w:w="2374"/>
        <w:gridCol w:w="1404"/>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企业名称</w:t>
            </w:r>
          </w:p>
        </w:tc>
        <w:tc>
          <w:tcPr>
            <w:tcW w:w="7634" w:type="dxa"/>
            <w:gridSpan w:val="4"/>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注册地址</w:t>
            </w:r>
          </w:p>
        </w:tc>
        <w:tc>
          <w:tcPr>
            <w:tcW w:w="3814" w:type="dxa"/>
            <w:gridSpan w:val="2"/>
            <w:vAlign w:val="center"/>
          </w:tcPr>
          <w:p>
            <w:pPr>
              <w:spacing w:line="300" w:lineRule="auto"/>
              <w:ind w:firstLine="0" w:firstLineChars="0"/>
              <w:jc w:val="center"/>
              <w:rPr>
                <w:rFonts w:ascii="宋体"/>
                <w:color w:val="auto"/>
                <w:sz w:val="21"/>
                <w:szCs w:val="21"/>
              </w:rPr>
            </w:pPr>
          </w:p>
        </w:tc>
        <w:tc>
          <w:tcPr>
            <w:tcW w:w="140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邮政编码</w:t>
            </w:r>
          </w:p>
        </w:tc>
        <w:tc>
          <w:tcPr>
            <w:tcW w:w="2416" w:type="dxa"/>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Merge w:val="restart"/>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联系方式</w:t>
            </w:r>
          </w:p>
        </w:tc>
        <w:tc>
          <w:tcPr>
            <w:tcW w:w="144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联系人</w:t>
            </w:r>
          </w:p>
        </w:tc>
        <w:tc>
          <w:tcPr>
            <w:tcW w:w="2374" w:type="dxa"/>
            <w:vAlign w:val="center"/>
          </w:tcPr>
          <w:p>
            <w:pPr>
              <w:spacing w:line="300" w:lineRule="auto"/>
              <w:ind w:firstLine="0" w:firstLineChars="0"/>
              <w:jc w:val="center"/>
              <w:rPr>
                <w:rFonts w:ascii="宋体"/>
                <w:color w:val="auto"/>
                <w:sz w:val="21"/>
                <w:szCs w:val="21"/>
              </w:rPr>
            </w:pPr>
          </w:p>
        </w:tc>
        <w:tc>
          <w:tcPr>
            <w:tcW w:w="140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电话</w:t>
            </w:r>
          </w:p>
        </w:tc>
        <w:tc>
          <w:tcPr>
            <w:tcW w:w="2416" w:type="dxa"/>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Merge w:val="continue"/>
            <w:vAlign w:val="center"/>
          </w:tcPr>
          <w:p>
            <w:pPr>
              <w:spacing w:line="300" w:lineRule="auto"/>
              <w:ind w:firstLine="0" w:firstLineChars="0"/>
              <w:jc w:val="center"/>
              <w:rPr>
                <w:rFonts w:ascii="宋体"/>
                <w:color w:val="auto"/>
                <w:sz w:val="21"/>
                <w:szCs w:val="21"/>
              </w:rPr>
            </w:pPr>
          </w:p>
        </w:tc>
        <w:tc>
          <w:tcPr>
            <w:tcW w:w="144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传真</w:t>
            </w:r>
          </w:p>
        </w:tc>
        <w:tc>
          <w:tcPr>
            <w:tcW w:w="2374" w:type="dxa"/>
            <w:vAlign w:val="center"/>
          </w:tcPr>
          <w:p>
            <w:pPr>
              <w:spacing w:line="300" w:lineRule="auto"/>
              <w:ind w:firstLine="0" w:firstLineChars="0"/>
              <w:jc w:val="center"/>
              <w:rPr>
                <w:rFonts w:ascii="宋体"/>
                <w:color w:val="auto"/>
                <w:sz w:val="21"/>
                <w:szCs w:val="21"/>
              </w:rPr>
            </w:pPr>
          </w:p>
        </w:tc>
        <w:tc>
          <w:tcPr>
            <w:tcW w:w="140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网址</w:t>
            </w:r>
          </w:p>
        </w:tc>
        <w:tc>
          <w:tcPr>
            <w:tcW w:w="2416" w:type="dxa"/>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组织结构</w:t>
            </w:r>
          </w:p>
        </w:tc>
        <w:tc>
          <w:tcPr>
            <w:tcW w:w="7634" w:type="dxa"/>
            <w:gridSpan w:val="4"/>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法定代表人</w:t>
            </w:r>
          </w:p>
        </w:tc>
        <w:tc>
          <w:tcPr>
            <w:tcW w:w="1440" w:type="dxa"/>
            <w:vAlign w:val="center"/>
          </w:tcPr>
          <w:p>
            <w:pPr>
              <w:spacing w:line="300" w:lineRule="auto"/>
              <w:ind w:firstLine="0" w:firstLineChars="0"/>
              <w:jc w:val="center"/>
              <w:rPr>
                <w:rFonts w:ascii="宋体"/>
                <w:color w:val="auto"/>
                <w:sz w:val="21"/>
                <w:szCs w:val="21"/>
              </w:rPr>
            </w:pPr>
          </w:p>
        </w:tc>
        <w:tc>
          <w:tcPr>
            <w:tcW w:w="237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技术职称及资质</w:t>
            </w:r>
          </w:p>
        </w:tc>
        <w:tc>
          <w:tcPr>
            <w:tcW w:w="3820" w:type="dxa"/>
            <w:gridSpan w:val="2"/>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技术负责人</w:t>
            </w:r>
          </w:p>
        </w:tc>
        <w:tc>
          <w:tcPr>
            <w:tcW w:w="1440" w:type="dxa"/>
            <w:vAlign w:val="center"/>
          </w:tcPr>
          <w:p>
            <w:pPr>
              <w:spacing w:line="300" w:lineRule="auto"/>
              <w:ind w:firstLine="0" w:firstLineChars="0"/>
              <w:jc w:val="center"/>
              <w:rPr>
                <w:rFonts w:ascii="宋体"/>
                <w:color w:val="auto"/>
                <w:sz w:val="21"/>
                <w:szCs w:val="21"/>
              </w:rPr>
            </w:pPr>
          </w:p>
        </w:tc>
        <w:tc>
          <w:tcPr>
            <w:tcW w:w="237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技术职称及资质</w:t>
            </w:r>
          </w:p>
        </w:tc>
        <w:tc>
          <w:tcPr>
            <w:tcW w:w="3820" w:type="dxa"/>
            <w:gridSpan w:val="2"/>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成立时间</w:t>
            </w:r>
          </w:p>
        </w:tc>
        <w:tc>
          <w:tcPr>
            <w:tcW w:w="3814" w:type="dxa"/>
            <w:gridSpan w:val="2"/>
            <w:vAlign w:val="center"/>
          </w:tcPr>
          <w:p>
            <w:pPr>
              <w:spacing w:line="300" w:lineRule="auto"/>
              <w:ind w:firstLine="0" w:firstLineChars="0"/>
              <w:jc w:val="center"/>
              <w:rPr>
                <w:rFonts w:ascii="宋体"/>
                <w:color w:val="auto"/>
                <w:sz w:val="21"/>
                <w:szCs w:val="21"/>
              </w:rPr>
            </w:pPr>
          </w:p>
        </w:tc>
        <w:tc>
          <w:tcPr>
            <w:tcW w:w="1404" w:type="dxa"/>
            <w:tcBorders>
              <w:right w:val="single" w:color="auto" w:sz="4" w:space="0"/>
            </w:tcBorders>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总人数</w:t>
            </w:r>
          </w:p>
        </w:tc>
        <w:tc>
          <w:tcPr>
            <w:tcW w:w="2416" w:type="dxa"/>
            <w:tcBorders>
              <w:left w:val="single" w:color="auto" w:sz="4" w:space="0"/>
            </w:tcBorders>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人，其中：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1" w:hRule="atLeas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资质等级</w:t>
            </w:r>
          </w:p>
        </w:tc>
        <w:tc>
          <w:tcPr>
            <w:tcW w:w="3814" w:type="dxa"/>
            <w:gridSpan w:val="2"/>
            <w:vAlign w:val="center"/>
          </w:tcPr>
          <w:p>
            <w:pPr>
              <w:spacing w:line="300" w:lineRule="auto"/>
              <w:ind w:firstLine="0" w:firstLineChars="0"/>
              <w:jc w:val="center"/>
              <w:rPr>
                <w:rFonts w:ascii="宋体"/>
                <w:color w:val="auto"/>
                <w:sz w:val="21"/>
                <w:szCs w:val="21"/>
              </w:rPr>
            </w:pPr>
          </w:p>
        </w:tc>
        <w:tc>
          <w:tcPr>
            <w:tcW w:w="1404" w:type="dxa"/>
            <w:vMerge w:val="restart"/>
            <w:tcBorders>
              <w:right w:val="single" w:color="auto" w:sz="4" w:space="0"/>
            </w:tcBorders>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国家认定的注册人员</w:t>
            </w:r>
          </w:p>
        </w:tc>
        <w:tc>
          <w:tcPr>
            <w:tcW w:w="2416" w:type="dxa"/>
            <w:vMerge w:val="restart"/>
            <w:tcBorders>
              <w:left w:val="single" w:color="auto" w:sz="4" w:space="0"/>
            </w:tcBorders>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jc w:val="center"/>
        </w:trPr>
        <w:tc>
          <w:tcPr>
            <w:tcW w:w="2160" w:type="dxa"/>
            <w:vMerge w:val="restart"/>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营业执照号</w:t>
            </w:r>
          </w:p>
        </w:tc>
        <w:tc>
          <w:tcPr>
            <w:tcW w:w="3814" w:type="dxa"/>
            <w:gridSpan w:val="2"/>
            <w:vMerge w:val="restart"/>
            <w:vAlign w:val="center"/>
          </w:tcPr>
          <w:p>
            <w:pPr>
              <w:spacing w:line="300" w:lineRule="auto"/>
              <w:ind w:firstLine="0" w:firstLineChars="0"/>
              <w:jc w:val="center"/>
              <w:rPr>
                <w:rFonts w:ascii="宋体"/>
                <w:color w:val="auto"/>
                <w:sz w:val="21"/>
                <w:szCs w:val="21"/>
              </w:rPr>
            </w:pPr>
          </w:p>
        </w:tc>
        <w:tc>
          <w:tcPr>
            <w:tcW w:w="1404" w:type="dxa"/>
            <w:vMerge w:val="continue"/>
            <w:tcBorders>
              <w:bottom w:val="single" w:color="auto" w:sz="4" w:space="0"/>
              <w:right w:val="single" w:color="auto" w:sz="4" w:space="0"/>
            </w:tcBorders>
            <w:vAlign w:val="center"/>
          </w:tcPr>
          <w:p>
            <w:pPr>
              <w:spacing w:line="300" w:lineRule="auto"/>
              <w:ind w:firstLine="0" w:firstLineChars="0"/>
              <w:jc w:val="center"/>
              <w:rPr>
                <w:rFonts w:ascii="宋体"/>
                <w:color w:val="auto"/>
                <w:sz w:val="21"/>
                <w:szCs w:val="21"/>
              </w:rPr>
            </w:pPr>
          </w:p>
        </w:tc>
        <w:tc>
          <w:tcPr>
            <w:tcW w:w="2416" w:type="dxa"/>
            <w:vMerge w:val="continue"/>
            <w:tcBorders>
              <w:left w:val="single" w:color="auto" w:sz="4" w:space="0"/>
              <w:bottom w:val="single" w:color="auto" w:sz="4" w:space="0"/>
            </w:tcBorders>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8" w:hRule="atLeast"/>
          <w:jc w:val="center"/>
        </w:trPr>
        <w:tc>
          <w:tcPr>
            <w:tcW w:w="2160" w:type="dxa"/>
            <w:vMerge w:val="continue"/>
            <w:vAlign w:val="center"/>
          </w:tcPr>
          <w:p>
            <w:pPr>
              <w:spacing w:line="300" w:lineRule="auto"/>
              <w:ind w:firstLine="0" w:firstLineChars="0"/>
              <w:jc w:val="center"/>
              <w:rPr>
                <w:rFonts w:ascii="宋体"/>
                <w:color w:val="auto"/>
                <w:sz w:val="21"/>
                <w:szCs w:val="21"/>
              </w:rPr>
            </w:pPr>
          </w:p>
        </w:tc>
        <w:tc>
          <w:tcPr>
            <w:tcW w:w="3814" w:type="dxa"/>
            <w:gridSpan w:val="2"/>
            <w:vMerge w:val="continue"/>
            <w:vAlign w:val="center"/>
          </w:tcPr>
          <w:p>
            <w:pPr>
              <w:spacing w:line="300" w:lineRule="auto"/>
              <w:ind w:firstLine="0" w:firstLineChars="0"/>
              <w:jc w:val="center"/>
              <w:rPr>
                <w:rFonts w:ascii="宋体"/>
                <w:color w:val="auto"/>
                <w:sz w:val="21"/>
                <w:szCs w:val="21"/>
              </w:rPr>
            </w:pPr>
          </w:p>
        </w:tc>
        <w:tc>
          <w:tcPr>
            <w:tcW w:w="1404" w:type="dxa"/>
            <w:vMerge w:val="restart"/>
            <w:tcBorders>
              <w:top w:val="single" w:color="auto" w:sz="4" w:space="0"/>
              <w:right w:val="single" w:color="auto" w:sz="4" w:space="0"/>
            </w:tcBorders>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其他</w:t>
            </w:r>
          </w:p>
        </w:tc>
        <w:tc>
          <w:tcPr>
            <w:tcW w:w="2416" w:type="dxa"/>
            <w:vMerge w:val="restart"/>
            <w:tcBorders>
              <w:top w:val="single" w:color="auto" w:sz="4" w:space="0"/>
              <w:left w:val="single" w:color="auto" w:sz="4" w:space="0"/>
            </w:tcBorders>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2" w:hRule="atLeas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注册资金</w:t>
            </w:r>
          </w:p>
        </w:tc>
        <w:tc>
          <w:tcPr>
            <w:tcW w:w="3814" w:type="dxa"/>
            <w:gridSpan w:val="2"/>
            <w:vAlign w:val="center"/>
          </w:tcPr>
          <w:p>
            <w:pPr>
              <w:spacing w:line="300" w:lineRule="auto"/>
              <w:ind w:firstLine="0" w:firstLineChars="0"/>
              <w:jc w:val="center"/>
              <w:rPr>
                <w:rFonts w:ascii="宋体"/>
                <w:color w:val="auto"/>
                <w:sz w:val="21"/>
                <w:szCs w:val="21"/>
              </w:rPr>
            </w:pPr>
          </w:p>
        </w:tc>
        <w:tc>
          <w:tcPr>
            <w:tcW w:w="1404" w:type="dxa"/>
            <w:vMerge w:val="continue"/>
            <w:tcBorders>
              <w:right w:val="single" w:color="auto" w:sz="4" w:space="0"/>
            </w:tcBorders>
            <w:vAlign w:val="center"/>
          </w:tcPr>
          <w:p>
            <w:pPr>
              <w:spacing w:line="300" w:lineRule="auto"/>
              <w:ind w:firstLine="0" w:firstLineChars="0"/>
              <w:jc w:val="center"/>
              <w:rPr>
                <w:rFonts w:ascii="宋体"/>
                <w:color w:val="auto"/>
                <w:sz w:val="21"/>
                <w:szCs w:val="21"/>
              </w:rPr>
            </w:pPr>
          </w:p>
        </w:tc>
        <w:tc>
          <w:tcPr>
            <w:tcW w:w="2416" w:type="dxa"/>
            <w:vMerge w:val="continue"/>
            <w:tcBorders>
              <w:left w:val="single" w:color="auto" w:sz="4" w:space="0"/>
            </w:tcBorders>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55"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开户银行</w:t>
            </w:r>
          </w:p>
        </w:tc>
        <w:tc>
          <w:tcPr>
            <w:tcW w:w="3814" w:type="dxa"/>
            <w:gridSpan w:val="2"/>
            <w:vAlign w:val="center"/>
          </w:tcPr>
          <w:p>
            <w:pPr>
              <w:spacing w:line="300" w:lineRule="auto"/>
              <w:ind w:firstLine="0" w:firstLineChars="0"/>
              <w:jc w:val="center"/>
              <w:rPr>
                <w:rFonts w:ascii="宋体"/>
                <w:color w:val="auto"/>
                <w:sz w:val="21"/>
                <w:szCs w:val="21"/>
              </w:rPr>
            </w:pPr>
          </w:p>
        </w:tc>
        <w:tc>
          <w:tcPr>
            <w:tcW w:w="1404"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（含）</w:t>
            </w:r>
          </w:p>
        </w:tc>
        <w:tc>
          <w:tcPr>
            <w:tcW w:w="2416"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（高级职称：人）</w:t>
            </w:r>
          </w:p>
          <w:p>
            <w:pPr>
              <w:spacing w:line="300" w:lineRule="auto"/>
              <w:ind w:firstLine="0" w:firstLineChars="0"/>
              <w:jc w:val="center"/>
              <w:rPr>
                <w:rFonts w:ascii="宋体"/>
                <w:color w:val="auto"/>
                <w:sz w:val="21"/>
                <w:szCs w:val="21"/>
              </w:rPr>
            </w:pPr>
            <w:r>
              <w:rPr>
                <w:rFonts w:hint="eastAsia" w:ascii="宋体" w:hAnsi="宋体"/>
                <w:color w:val="auto"/>
                <w:sz w:val="21"/>
                <w:szCs w:val="21"/>
              </w:rPr>
              <w:t>（中级职称：人）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16"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经营范围</w:t>
            </w:r>
          </w:p>
        </w:tc>
        <w:tc>
          <w:tcPr>
            <w:tcW w:w="7634" w:type="dxa"/>
            <w:gridSpan w:val="4"/>
            <w:vAlign w:val="center"/>
          </w:tcPr>
          <w:p>
            <w:pPr>
              <w:spacing w:line="300" w:lineRule="auto"/>
              <w:ind w:firstLine="0" w:firstLineChars="0"/>
              <w:jc w:val="center"/>
              <w:rPr>
                <w:rFonts w:ascii="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exact"/>
          <w:jc w:val="center"/>
        </w:trPr>
        <w:tc>
          <w:tcPr>
            <w:tcW w:w="2160"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营业期限</w:t>
            </w:r>
          </w:p>
        </w:tc>
        <w:tc>
          <w:tcPr>
            <w:tcW w:w="7634" w:type="dxa"/>
            <w:gridSpan w:val="4"/>
            <w:vAlign w:val="center"/>
          </w:tcPr>
          <w:p>
            <w:pPr>
              <w:spacing w:line="300" w:lineRule="auto"/>
              <w:ind w:firstLine="0" w:firstLineChars="0"/>
              <w:jc w:val="center"/>
              <w:rPr>
                <w:rFonts w:ascii="宋体"/>
                <w:color w:val="auto"/>
                <w:sz w:val="21"/>
                <w:szCs w:val="21"/>
              </w:rPr>
            </w:pPr>
          </w:p>
        </w:tc>
      </w:tr>
    </w:tbl>
    <w:p>
      <w:pPr>
        <w:ind w:firstLine="422"/>
        <w:rPr>
          <w:b/>
          <w:color w:val="auto"/>
          <w:sz w:val="21"/>
          <w:szCs w:val="21"/>
        </w:rPr>
      </w:pPr>
      <w:r>
        <w:rPr>
          <w:rFonts w:hint="eastAsia"/>
          <w:b/>
          <w:color w:val="auto"/>
          <w:sz w:val="21"/>
          <w:szCs w:val="21"/>
        </w:rPr>
        <w:t>注：营业执照复印件附后。</w:t>
      </w:r>
    </w:p>
    <w:p>
      <w:pPr>
        <w:pStyle w:val="14"/>
        <w:spacing w:before="156" w:after="156"/>
        <w:rPr>
          <w:rFonts w:ascii="宋体" w:cs="仿宋"/>
          <w:b w:val="0"/>
          <w:color w:val="auto"/>
          <w:kern w:val="0"/>
        </w:rPr>
      </w:pPr>
      <w:r>
        <w:rPr>
          <w:rFonts w:ascii="宋体" w:cs="仿宋"/>
          <w:b w:val="0"/>
          <w:color w:val="auto"/>
          <w:kern w:val="0"/>
        </w:rPr>
        <w:br w:type="page"/>
      </w:r>
      <w:r>
        <w:rPr>
          <w:color w:val="auto"/>
        </w:rPr>
        <w:t>五、承诺书</w:t>
      </w:r>
    </w:p>
    <w:p>
      <w:pPr>
        <w:ind w:firstLine="0" w:firstLineChars="0"/>
        <w:rPr>
          <w:rFonts w:hint="eastAsia" w:ascii="宋体" w:hAnsi="宋体" w:eastAsia="宋体"/>
          <w:color w:val="auto"/>
          <w:lang w:eastAsia="zh-CN"/>
        </w:rPr>
      </w:pPr>
      <w:r>
        <w:rPr>
          <w:rFonts w:hint="eastAsia" w:ascii="宋体" w:hAnsi="宋体"/>
          <w:color w:val="auto"/>
          <w:lang w:val="en-US" w:eastAsia="zh-CN"/>
        </w:rPr>
        <w:t>四川省国有资产经营投资管理有限责任公司</w:t>
      </w:r>
      <w:r>
        <w:rPr>
          <w:rFonts w:hint="eastAsia" w:ascii="宋体" w:hAnsi="宋体"/>
          <w:color w:val="auto"/>
          <w:lang w:eastAsia="zh-CN"/>
        </w:rPr>
        <w:t>：</w:t>
      </w:r>
    </w:p>
    <w:p>
      <w:pPr>
        <w:spacing w:line="400" w:lineRule="exact"/>
        <w:ind w:firstLine="490" w:firstLineChars="200"/>
        <w:rPr>
          <w:rFonts w:ascii="宋体" w:cs="仿宋"/>
          <w:color w:val="auto"/>
          <w:szCs w:val="24"/>
        </w:rPr>
      </w:pPr>
      <w:r>
        <w:rPr>
          <w:rFonts w:hint="eastAsia" w:ascii="宋体" w:hAnsi="宋体" w:cs="仿宋"/>
          <w:color w:val="auto"/>
          <w:szCs w:val="24"/>
        </w:rPr>
        <w:t>本公司</w:t>
      </w:r>
      <w:r>
        <w:rPr>
          <w:color w:val="auto"/>
          <w:szCs w:val="24"/>
          <w:u w:val="single"/>
        </w:rPr>
        <w:t xml:space="preserve">     </w:t>
      </w:r>
      <w:r>
        <w:rPr>
          <w:rFonts w:hint="eastAsia" w:ascii="宋体" w:hAnsi="宋体" w:cs="仿宋"/>
          <w:color w:val="auto"/>
          <w:szCs w:val="24"/>
        </w:rPr>
        <w:t>（公司名称）参加</w:t>
      </w:r>
      <w:r>
        <w:rPr>
          <w:color w:val="auto"/>
          <w:szCs w:val="24"/>
          <w:u w:val="single"/>
        </w:rPr>
        <w:t xml:space="preserve">     </w:t>
      </w:r>
      <w:r>
        <w:rPr>
          <w:rFonts w:hint="eastAsia" w:ascii="宋体" w:hAnsi="宋体" w:cs="仿宋"/>
          <w:color w:val="auto"/>
          <w:szCs w:val="24"/>
        </w:rPr>
        <w:t>（项目名称）的比选申请活动，现承诺我公司符合如下规定：</w:t>
      </w:r>
    </w:p>
    <w:p>
      <w:pPr>
        <w:pStyle w:val="8"/>
        <w:spacing w:line="400" w:lineRule="exact"/>
        <w:ind w:firstLine="0" w:firstLineChars="0"/>
        <w:rPr>
          <w:rFonts w:cs="宋体"/>
          <w:color w:val="auto"/>
          <w:sz w:val="24"/>
        </w:rPr>
      </w:pPr>
      <w:r>
        <w:rPr>
          <w:rFonts w:hint="eastAsia" w:cs="宋体"/>
          <w:color w:val="auto"/>
          <w:sz w:val="24"/>
        </w:rPr>
        <w:t>（一）具有独立承担民事责任的能力；</w:t>
      </w:r>
    </w:p>
    <w:p>
      <w:pPr>
        <w:pStyle w:val="8"/>
        <w:spacing w:line="400" w:lineRule="exact"/>
        <w:ind w:firstLine="0" w:firstLineChars="0"/>
        <w:rPr>
          <w:rFonts w:cs="宋体"/>
          <w:color w:val="auto"/>
          <w:sz w:val="24"/>
        </w:rPr>
      </w:pPr>
      <w:r>
        <w:rPr>
          <w:rFonts w:hint="eastAsia" w:cs="宋体"/>
          <w:color w:val="auto"/>
          <w:sz w:val="24"/>
        </w:rPr>
        <w:t>（二）具有必须的设备和专业技术能力；</w:t>
      </w:r>
    </w:p>
    <w:p>
      <w:pPr>
        <w:pStyle w:val="8"/>
        <w:spacing w:line="400" w:lineRule="exact"/>
        <w:ind w:firstLine="0" w:firstLineChars="0"/>
        <w:rPr>
          <w:rFonts w:cs="宋体"/>
          <w:color w:val="auto"/>
          <w:sz w:val="24"/>
        </w:rPr>
      </w:pPr>
      <w:r>
        <w:rPr>
          <w:rFonts w:hint="eastAsia" w:cs="宋体"/>
          <w:color w:val="auto"/>
          <w:sz w:val="24"/>
        </w:rPr>
        <w:t>（三）完全响应比选文件中的相关要求；</w:t>
      </w:r>
    </w:p>
    <w:p>
      <w:pPr>
        <w:pStyle w:val="8"/>
        <w:spacing w:line="400" w:lineRule="exact"/>
        <w:ind w:firstLine="0" w:firstLineChars="0"/>
        <w:rPr>
          <w:rFonts w:cs="宋体"/>
          <w:color w:val="auto"/>
          <w:sz w:val="24"/>
        </w:rPr>
      </w:pPr>
      <w:r>
        <w:rPr>
          <w:rFonts w:hint="eastAsia" w:cs="宋体"/>
          <w:color w:val="auto"/>
          <w:sz w:val="24"/>
        </w:rPr>
        <w:t>（四）近三年没有因腐败或欺诈行为被政府或招标人取消中标资格，没有与招标人发生各种诉讼、仲裁和不良投诉，没有因产品质量问题导致招标人退货处理的情形。</w:t>
      </w:r>
    </w:p>
    <w:p>
      <w:pPr>
        <w:spacing w:line="400" w:lineRule="exact"/>
        <w:ind w:firstLine="0" w:firstLineChars="0"/>
        <w:rPr>
          <w:rFonts w:ascii="宋体" w:cs="仿宋"/>
          <w:color w:val="auto"/>
          <w:szCs w:val="24"/>
        </w:rPr>
      </w:pPr>
    </w:p>
    <w:p>
      <w:pPr>
        <w:spacing w:line="400" w:lineRule="exact"/>
        <w:ind w:firstLine="0" w:firstLineChars="0"/>
        <w:rPr>
          <w:rFonts w:ascii="宋体" w:cs="仿宋"/>
          <w:color w:val="auto"/>
          <w:szCs w:val="24"/>
        </w:rPr>
      </w:pPr>
    </w:p>
    <w:p>
      <w:pPr>
        <w:spacing w:line="400" w:lineRule="exact"/>
        <w:ind w:firstLine="0" w:firstLineChars="0"/>
        <w:rPr>
          <w:rFonts w:ascii="宋体" w:cs="仿宋"/>
          <w:color w:val="auto"/>
          <w:szCs w:val="24"/>
        </w:rPr>
      </w:pPr>
      <w:r>
        <w:rPr>
          <w:rFonts w:hint="eastAsia" w:ascii="宋体" w:hAnsi="宋体" w:cs="仿宋"/>
          <w:color w:val="auto"/>
          <w:szCs w:val="24"/>
        </w:rPr>
        <w:t>如违反以上承诺，本公司愿承担一切法律责任。</w:t>
      </w:r>
    </w:p>
    <w:p>
      <w:pPr>
        <w:spacing w:line="400" w:lineRule="exact"/>
        <w:ind w:firstLine="0" w:firstLineChars="0"/>
        <w:rPr>
          <w:rFonts w:ascii="宋体" w:cs="仿宋"/>
          <w:color w:val="auto"/>
          <w:szCs w:val="24"/>
        </w:rPr>
      </w:pPr>
    </w:p>
    <w:p>
      <w:pPr>
        <w:spacing w:line="400" w:lineRule="exact"/>
        <w:ind w:firstLine="0" w:firstLineChars="0"/>
        <w:rPr>
          <w:rFonts w:ascii="宋体" w:cs="仿宋"/>
          <w:color w:val="auto"/>
          <w:szCs w:val="24"/>
        </w:rPr>
      </w:pPr>
    </w:p>
    <w:p>
      <w:pPr>
        <w:adjustRightInd w:val="0"/>
        <w:snapToGrid w:val="0"/>
        <w:ind w:firstLine="0" w:firstLineChars="0"/>
        <w:rPr>
          <w:rFonts w:ascii="宋体" w:cs="仿宋"/>
          <w:color w:val="auto"/>
          <w:szCs w:val="24"/>
        </w:rPr>
      </w:pPr>
      <w:r>
        <w:rPr>
          <w:rFonts w:hint="eastAsia" w:ascii="宋体" w:hAnsi="宋体" w:cs="仿宋"/>
          <w:color w:val="auto"/>
          <w:szCs w:val="24"/>
        </w:rPr>
        <w:t>比选申请人：</w:t>
      </w:r>
      <w:r>
        <w:rPr>
          <w:rFonts w:ascii="宋体" w:hAnsi="宋体" w:cs="仿宋"/>
          <w:color w:val="auto"/>
          <w:szCs w:val="24"/>
        </w:rPr>
        <w:t xml:space="preserve">        </w:t>
      </w:r>
      <w:r>
        <w:rPr>
          <w:rFonts w:hint="eastAsia" w:ascii="宋体" w:hAnsi="宋体" w:cs="仿宋"/>
          <w:color w:val="auto"/>
          <w:szCs w:val="24"/>
        </w:rPr>
        <w:t>（盖章）</w:t>
      </w:r>
    </w:p>
    <w:p>
      <w:pPr>
        <w:adjustRightInd w:val="0"/>
        <w:snapToGrid w:val="0"/>
        <w:ind w:firstLine="0" w:firstLineChars="0"/>
        <w:rPr>
          <w:rFonts w:ascii="宋体" w:cs="仿宋"/>
          <w:color w:val="auto"/>
          <w:szCs w:val="24"/>
        </w:rPr>
      </w:pPr>
    </w:p>
    <w:p>
      <w:pPr>
        <w:adjustRightInd w:val="0"/>
        <w:snapToGrid w:val="0"/>
        <w:ind w:firstLine="0" w:firstLineChars="0"/>
        <w:rPr>
          <w:rFonts w:ascii="宋体"/>
          <w:color w:val="auto"/>
          <w:szCs w:val="24"/>
        </w:rPr>
      </w:pPr>
      <w:r>
        <w:rPr>
          <w:rFonts w:ascii="宋体" w:hAnsi="宋体" w:cs="仿宋"/>
          <w:color w:val="auto"/>
          <w:szCs w:val="24"/>
        </w:rPr>
        <w:t xml:space="preserve">    </w:t>
      </w:r>
      <w:r>
        <w:rPr>
          <w:rFonts w:hint="eastAsia" w:ascii="宋体" w:hAnsi="宋体" w:cs="仿宋"/>
          <w:color w:val="auto"/>
          <w:szCs w:val="24"/>
        </w:rPr>
        <w:t>法定代表人或授权代表（签字）：申请日期：</w:t>
      </w:r>
    </w:p>
    <w:p>
      <w:pPr>
        <w:pStyle w:val="14"/>
        <w:spacing w:before="156" w:after="156"/>
        <w:rPr>
          <w:rFonts w:ascii="宋体"/>
          <w:b w:val="0"/>
          <w:color w:val="auto"/>
        </w:rPr>
      </w:pPr>
      <w:bookmarkStart w:id="171" w:name="_Toc462131553"/>
      <w:bookmarkStart w:id="172" w:name="_Toc456648504"/>
      <w:bookmarkStart w:id="173" w:name="_Toc454834951"/>
      <w:bookmarkStart w:id="174" w:name="_Toc449699438"/>
      <w:r>
        <w:rPr>
          <w:rFonts w:ascii="宋体"/>
          <w:b w:val="0"/>
          <w:color w:val="auto"/>
        </w:rPr>
        <w:br w:type="page"/>
      </w:r>
      <w:bookmarkStart w:id="175" w:name="_Toc456648505"/>
      <w:bookmarkStart w:id="176" w:name="_Toc517640283"/>
      <w:bookmarkStart w:id="177" w:name="_Toc454834952"/>
      <w:bookmarkStart w:id="178" w:name="_Toc517640369"/>
      <w:bookmarkStart w:id="179" w:name="_Toc462131554"/>
      <w:bookmarkStart w:id="180" w:name="_Toc514083112"/>
      <w:r>
        <w:rPr>
          <w:color w:val="auto"/>
        </w:rPr>
        <w:t>六、公司简介</w:t>
      </w:r>
      <w:bookmarkEnd w:id="175"/>
      <w:bookmarkEnd w:id="176"/>
      <w:bookmarkEnd w:id="177"/>
      <w:bookmarkEnd w:id="178"/>
      <w:bookmarkEnd w:id="179"/>
    </w:p>
    <w:p>
      <w:pPr>
        <w:widowControl/>
        <w:ind w:firstLine="0" w:firstLineChars="0"/>
        <w:rPr>
          <w:rFonts w:ascii="宋体"/>
          <w:b/>
          <w:color w:val="auto"/>
          <w:sz w:val="32"/>
          <w:szCs w:val="32"/>
        </w:rPr>
      </w:pPr>
      <w:r>
        <w:rPr>
          <w:rFonts w:ascii="宋体"/>
          <w:b/>
          <w:color w:val="auto"/>
          <w:sz w:val="32"/>
          <w:szCs w:val="32"/>
        </w:rPr>
        <w:br w:type="page"/>
      </w:r>
    </w:p>
    <w:p>
      <w:pPr>
        <w:pStyle w:val="14"/>
        <w:spacing w:before="156" w:after="156"/>
        <w:rPr>
          <w:color w:val="auto"/>
        </w:rPr>
      </w:pPr>
      <w:bookmarkStart w:id="181" w:name="_Toc517640370"/>
      <w:bookmarkStart w:id="182" w:name="_Toc517640284"/>
      <w:r>
        <w:rPr>
          <w:color w:val="auto"/>
        </w:rPr>
        <w:t>七</w:t>
      </w:r>
      <w:bookmarkEnd w:id="171"/>
      <w:bookmarkEnd w:id="172"/>
      <w:bookmarkEnd w:id="173"/>
      <w:bookmarkEnd w:id="174"/>
      <w:bookmarkEnd w:id="180"/>
      <w:bookmarkEnd w:id="181"/>
      <w:bookmarkEnd w:id="182"/>
      <w:bookmarkStart w:id="183" w:name="_Toc462131555"/>
      <w:bookmarkStart w:id="184" w:name="_Toc456648506"/>
      <w:bookmarkStart w:id="185" w:name="_Toc514083113"/>
      <w:bookmarkStart w:id="186" w:name="_Toc454834953"/>
      <w:bookmarkStart w:id="187" w:name="_Toc517640371"/>
      <w:bookmarkStart w:id="188" w:name="_Toc517640285"/>
      <w:r>
        <w:rPr>
          <w:color w:val="auto"/>
        </w:rPr>
        <w:t>、项目管理机构组成及主要人员简历表</w:t>
      </w:r>
      <w:bookmarkEnd w:id="183"/>
      <w:bookmarkEnd w:id="184"/>
      <w:bookmarkEnd w:id="185"/>
      <w:bookmarkEnd w:id="186"/>
      <w:bookmarkEnd w:id="187"/>
      <w:bookmarkEnd w:id="188"/>
    </w:p>
    <w:tbl>
      <w:tblPr>
        <w:tblStyle w:val="17"/>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4"/>
        <w:gridCol w:w="836"/>
        <w:gridCol w:w="878"/>
        <w:gridCol w:w="1406"/>
        <w:gridCol w:w="1135"/>
        <w:gridCol w:w="1205"/>
        <w:gridCol w:w="1096"/>
        <w:gridCol w:w="1276"/>
        <w:gridCol w:w="7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60" w:hRule="atLeast"/>
          <w:jc w:val="center"/>
        </w:trPr>
        <w:tc>
          <w:tcPr>
            <w:tcW w:w="674"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序号</w:t>
            </w:r>
          </w:p>
        </w:tc>
        <w:tc>
          <w:tcPr>
            <w:tcW w:w="836"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姓名</w:t>
            </w:r>
          </w:p>
        </w:tc>
        <w:tc>
          <w:tcPr>
            <w:tcW w:w="878"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性别</w:t>
            </w:r>
          </w:p>
        </w:tc>
        <w:tc>
          <w:tcPr>
            <w:tcW w:w="1406"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毕</w:t>
            </w:r>
            <w:r>
              <w:rPr>
                <w:rFonts w:ascii="宋体" w:hAnsi="宋体"/>
                <w:color w:val="auto"/>
                <w:kern w:val="0"/>
                <w:sz w:val="21"/>
                <w:szCs w:val="21"/>
              </w:rPr>
              <w:t xml:space="preserve"> </w:t>
            </w:r>
            <w:r>
              <w:rPr>
                <w:rFonts w:hint="eastAsia" w:ascii="宋体" w:hAnsi="宋体"/>
                <w:color w:val="auto"/>
                <w:kern w:val="0"/>
                <w:sz w:val="21"/>
                <w:szCs w:val="21"/>
              </w:rPr>
              <w:t>业</w:t>
            </w:r>
            <w:r>
              <w:rPr>
                <w:rFonts w:ascii="宋体" w:hAnsi="宋体"/>
                <w:color w:val="auto"/>
                <w:kern w:val="0"/>
                <w:sz w:val="21"/>
                <w:szCs w:val="21"/>
              </w:rPr>
              <w:t xml:space="preserve"> </w:t>
            </w:r>
            <w:r>
              <w:rPr>
                <w:rFonts w:hint="eastAsia" w:ascii="宋体" w:hAnsi="宋体"/>
                <w:color w:val="auto"/>
                <w:kern w:val="0"/>
                <w:sz w:val="21"/>
                <w:szCs w:val="21"/>
              </w:rPr>
              <w:t>院</w:t>
            </w:r>
            <w:r>
              <w:rPr>
                <w:rFonts w:ascii="宋体" w:hAnsi="宋体"/>
                <w:color w:val="auto"/>
                <w:kern w:val="0"/>
                <w:sz w:val="21"/>
                <w:szCs w:val="21"/>
              </w:rPr>
              <w:t xml:space="preserve"> </w:t>
            </w:r>
            <w:r>
              <w:rPr>
                <w:rFonts w:hint="eastAsia" w:ascii="宋体" w:hAnsi="宋体"/>
                <w:color w:val="auto"/>
                <w:kern w:val="0"/>
                <w:sz w:val="21"/>
                <w:szCs w:val="21"/>
              </w:rPr>
              <w:t>校</w:t>
            </w:r>
          </w:p>
        </w:tc>
        <w:tc>
          <w:tcPr>
            <w:tcW w:w="1135"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文化程度</w:t>
            </w:r>
          </w:p>
        </w:tc>
        <w:tc>
          <w:tcPr>
            <w:tcW w:w="1205"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技术职称</w:t>
            </w:r>
            <w:r>
              <w:rPr>
                <w:rFonts w:ascii="宋体" w:hAnsi="宋体"/>
                <w:color w:val="auto"/>
                <w:kern w:val="0"/>
                <w:sz w:val="21"/>
                <w:szCs w:val="21"/>
              </w:rPr>
              <w:t>/</w:t>
            </w:r>
            <w:r>
              <w:rPr>
                <w:rFonts w:hint="eastAsia" w:ascii="宋体" w:hAnsi="宋体"/>
                <w:color w:val="auto"/>
                <w:kern w:val="0"/>
                <w:sz w:val="21"/>
                <w:szCs w:val="21"/>
              </w:rPr>
              <w:t>执业资格</w:t>
            </w:r>
          </w:p>
        </w:tc>
        <w:tc>
          <w:tcPr>
            <w:tcW w:w="1096"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拟在本项目中任职</w:t>
            </w:r>
          </w:p>
        </w:tc>
        <w:tc>
          <w:tcPr>
            <w:tcW w:w="1276"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从事相关</w:t>
            </w:r>
          </w:p>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工作时间</w:t>
            </w:r>
          </w:p>
        </w:tc>
        <w:tc>
          <w:tcPr>
            <w:tcW w:w="780" w:type="dxa"/>
            <w:vAlign w:val="center"/>
          </w:tcPr>
          <w:p>
            <w:pPr>
              <w:spacing w:line="300" w:lineRule="auto"/>
              <w:ind w:firstLine="0" w:firstLineChars="0"/>
              <w:jc w:val="center"/>
              <w:rPr>
                <w:rFonts w:ascii="宋体"/>
                <w:color w:val="auto"/>
                <w:kern w:val="0"/>
                <w:sz w:val="21"/>
                <w:szCs w:val="21"/>
              </w:rPr>
            </w:pPr>
            <w:r>
              <w:rPr>
                <w:rFonts w:hint="eastAsia" w:ascii="宋体" w:hAnsi="宋体"/>
                <w:color w:val="auto"/>
                <w:kern w:val="0"/>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674" w:type="dxa"/>
            <w:vAlign w:val="center"/>
          </w:tcPr>
          <w:p>
            <w:pPr>
              <w:spacing w:line="300" w:lineRule="auto"/>
              <w:ind w:firstLine="0" w:firstLineChars="0"/>
              <w:jc w:val="center"/>
              <w:rPr>
                <w:rFonts w:ascii="宋体"/>
                <w:color w:val="auto"/>
                <w:kern w:val="0"/>
                <w:sz w:val="21"/>
                <w:szCs w:val="21"/>
              </w:rPr>
            </w:pPr>
          </w:p>
        </w:tc>
        <w:tc>
          <w:tcPr>
            <w:tcW w:w="836" w:type="dxa"/>
            <w:vAlign w:val="center"/>
          </w:tcPr>
          <w:p>
            <w:pPr>
              <w:spacing w:line="300" w:lineRule="auto"/>
              <w:ind w:firstLine="0" w:firstLineChars="0"/>
              <w:jc w:val="center"/>
              <w:rPr>
                <w:rFonts w:ascii="宋体"/>
                <w:color w:val="auto"/>
                <w:kern w:val="0"/>
                <w:sz w:val="21"/>
                <w:szCs w:val="21"/>
              </w:rPr>
            </w:pPr>
          </w:p>
        </w:tc>
        <w:tc>
          <w:tcPr>
            <w:tcW w:w="878" w:type="dxa"/>
            <w:vAlign w:val="center"/>
          </w:tcPr>
          <w:p>
            <w:pPr>
              <w:spacing w:line="300" w:lineRule="auto"/>
              <w:ind w:firstLine="0" w:firstLineChars="0"/>
              <w:jc w:val="center"/>
              <w:rPr>
                <w:rFonts w:ascii="宋体"/>
                <w:color w:val="auto"/>
                <w:kern w:val="0"/>
                <w:sz w:val="21"/>
                <w:szCs w:val="21"/>
              </w:rPr>
            </w:pPr>
          </w:p>
        </w:tc>
        <w:tc>
          <w:tcPr>
            <w:tcW w:w="1406" w:type="dxa"/>
            <w:vAlign w:val="center"/>
          </w:tcPr>
          <w:p>
            <w:pPr>
              <w:spacing w:line="300" w:lineRule="auto"/>
              <w:ind w:firstLine="0" w:firstLineChars="0"/>
              <w:jc w:val="center"/>
              <w:rPr>
                <w:rFonts w:ascii="宋体"/>
                <w:color w:val="auto"/>
                <w:kern w:val="0"/>
                <w:sz w:val="21"/>
                <w:szCs w:val="21"/>
              </w:rPr>
            </w:pPr>
          </w:p>
        </w:tc>
        <w:tc>
          <w:tcPr>
            <w:tcW w:w="1135" w:type="dxa"/>
            <w:vAlign w:val="center"/>
          </w:tcPr>
          <w:p>
            <w:pPr>
              <w:spacing w:line="300" w:lineRule="auto"/>
              <w:ind w:firstLine="0" w:firstLineChars="0"/>
              <w:jc w:val="center"/>
              <w:rPr>
                <w:rFonts w:ascii="宋体"/>
                <w:color w:val="auto"/>
                <w:kern w:val="0"/>
                <w:sz w:val="21"/>
                <w:szCs w:val="21"/>
              </w:rPr>
            </w:pPr>
          </w:p>
        </w:tc>
        <w:tc>
          <w:tcPr>
            <w:tcW w:w="1205" w:type="dxa"/>
            <w:vAlign w:val="center"/>
          </w:tcPr>
          <w:p>
            <w:pPr>
              <w:spacing w:line="300" w:lineRule="auto"/>
              <w:ind w:firstLine="0" w:firstLineChars="0"/>
              <w:jc w:val="center"/>
              <w:rPr>
                <w:rFonts w:ascii="宋体"/>
                <w:color w:val="auto"/>
                <w:kern w:val="0"/>
                <w:sz w:val="21"/>
                <w:szCs w:val="21"/>
              </w:rPr>
            </w:pPr>
          </w:p>
        </w:tc>
        <w:tc>
          <w:tcPr>
            <w:tcW w:w="1096" w:type="dxa"/>
            <w:vAlign w:val="center"/>
          </w:tcPr>
          <w:p>
            <w:pPr>
              <w:spacing w:line="300" w:lineRule="auto"/>
              <w:ind w:firstLine="0" w:firstLineChars="0"/>
              <w:jc w:val="center"/>
              <w:rPr>
                <w:rFonts w:ascii="宋体"/>
                <w:color w:val="auto"/>
                <w:kern w:val="0"/>
                <w:sz w:val="21"/>
                <w:szCs w:val="21"/>
              </w:rPr>
            </w:pPr>
          </w:p>
        </w:tc>
        <w:tc>
          <w:tcPr>
            <w:tcW w:w="1276" w:type="dxa"/>
            <w:vAlign w:val="center"/>
          </w:tcPr>
          <w:p>
            <w:pPr>
              <w:spacing w:line="300" w:lineRule="auto"/>
              <w:ind w:firstLine="0" w:firstLineChars="0"/>
              <w:jc w:val="center"/>
              <w:rPr>
                <w:rFonts w:ascii="宋体"/>
                <w:color w:val="auto"/>
                <w:kern w:val="0"/>
                <w:sz w:val="21"/>
                <w:szCs w:val="21"/>
              </w:rPr>
            </w:pPr>
          </w:p>
        </w:tc>
        <w:tc>
          <w:tcPr>
            <w:tcW w:w="780" w:type="dxa"/>
            <w:vAlign w:val="center"/>
          </w:tcPr>
          <w:p>
            <w:pPr>
              <w:spacing w:line="300" w:lineRule="auto"/>
              <w:ind w:firstLine="0" w:firstLineChars="0"/>
              <w:jc w:val="center"/>
              <w:rPr>
                <w:rFonts w:ascii="宋体"/>
                <w:color w:val="auto"/>
                <w:kern w:val="0"/>
                <w:sz w:val="21"/>
                <w:szCs w:val="21"/>
              </w:rPr>
            </w:pPr>
          </w:p>
        </w:tc>
      </w:tr>
    </w:tbl>
    <w:p>
      <w:pPr>
        <w:ind w:firstLine="0" w:firstLineChars="0"/>
        <w:rPr>
          <w:rFonts w:ascii="宋体"/>
          <w:color w:val="auto"/>
        </w:rPr>
      </w:pPr>
      <w:r>
        <w:rPr>
          <w:rFonts w:hint="eastAsia" w:ascii="宋体" w:hAnsi="宋体"/>
          <w:color w:val="auto"/>
        </w:rPr>
        <w:t>注：若表中内容太多无法填写，比选申请人可自行增加篇幅</w:t>
      </w:r>
    </w:p>
    <w:p>
      <w:pPr>
        <w:ind w:firstLine="0" w:firstLineChars="0"/>
        <w:jc w:val="center"/>
        <w:rPr>
          <w:rFonts w:ascii="宋体"/>
          <w:color w:val="auto"/>
        </w:rPr>
      </w:pPr>
      <w:r>
        <w:rPr>
          <w:rFonts w:ascii="宋体"/>
          <w:color w:val="auto"/>
        </w:rPr>
        <w:br w:type="page"/>
      </w:r>
      <w:r>
        <w:rPr>
          <w:rFonts w:hint="eastAsia" w:ascii="宋体" w:hAnsi="宋体"/>
          <w:color w:val="auto"/>
        </w:rPr>
        <w:t>主要人员简历表</w:t>
      </w: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0"/>
        <w:gridCol w:w="786"/>
        <w:gridCol w:w="1010"/>
        <w:gridCol w:w="1161"/>
        <w:gridCol w:w="771"/>
        <w:gridCol w:w="1374"/>
        <w:gridCol w:w="176"/>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姓</w:t>
            </w:r>
            <w:r>
              <w:rPr>
                <w:rFonts w:ascii="宋体" w:hAnsi="宋体"/>
                <w:color w:val="auto"/>
                <w:kern w:val="0"/>
                <w:szCs w:val="24"/>
              </w:rPr>
              <w:t xml:space="preserve">  </w:t>
            </w:r>
            <w:r>
              <w:rPr>
                <w:rFonts w:hint="eastAsia" w:ascii="宋体" w:hAnsi="宋体"/>
                <w:color w:val="auto"/>
                <w:kern w:val="0"/>
                <w:szCs w:val="24"/>
              </w:rPr>
              <w:t>名</w:t>
            </w:r>
          </w:p>
        </w:tc>
        <w:tc>
          <w:tcPr>
            <w:tcW w:w="1176" w:type="dxa"/>
            <w:gridSpan w:val="2"/>
            <w:vAlign w:val="center"/>
          </w:tcPr>
          <w:p>
            <w:pPr>
              <w:spacing w:line="300" w:lineRule="auto"/>
              <w:ind w:firstLine="0" w:firstLineChars="0"/>
              <w:jc w:val="center"/>
              <w:rPr>
                <w:rFonts w:ascii="宋体"/>
                <w:color w:val="auto"/>
                <w:kern w:val="0"/>
                <w:szCs w:val="24"/>
              </w:rPr>
            </w:pPr>
          </w:p>
        </w:tc>
        <w:tc>
          <w:tcPr>
            <w:tcW w:w="1010"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年</w:t>
            </w:r>
            <w:r>
              <w:rPr>
                <w:rFonts w:ascii="宋体" w:hAnsi="宋体"/>
                <w:color w:val="auto"/>
                <w:kern w:val="0"/>
                <w:szCs w:val="24"/>
              </w:rPr>
              <w:t xml:space="preserve"> </w:t>
            </w:r>
            <w:r>
              <w:rPr>
                <w:rFonts w:hint="eastAsia" w:ascii="宋体" w:hAnsi="宋体"/>
                <w:color w:val="auto"/>
                <w:kern w:val="0"/>
                <w:szCs w:val="24"/>
              </w:rPr>
              <w:t>龄</w:t>
            </w:r>
          </w:p>
        </w:tc>
        <w:tc>
          <w:tcPr>
            <w:tcW w:w="1161" w:type="dxa"/>
            <w:vAlign w:val="center"/>
          </w:tcPr>
          <w:p>
            <w:pPr>
              <w:spacing w:line="300" w:lineRule="auto"/>
              <w:ind w:firstLine="0" w:firstLineChars="0"/>
              <w:jc w:val="center"/>
              <w:rPr>
                <w:rFonts w:ascii="宋体"/>
                <w:color w:val="auto"/>
                <w:kern w:val="0"/>
                <w:szCs w:val="24"/>
              </w:rPr>
            </w:pPr>
          </w:p>
        </w:tc>
        <w:tc>
          <w:tcPr>
            <w:tcW w:w="2321" w:type="dxa"/>
            <w:gridSpan w:val="3"/>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学</w:t>
            </w:r>
            <w:r>
              <w:rPr>
                <w:rFonts w:ascii="宋体" w:hAnsi="宋体"/>
                <w:color w:val="auto"/>
                <w:kern w:val="0"/>
                <w:szCs w:val="24"/>
              </w:rPr>
              <w:t xml:space="preserve"> </w:t>
            </w:r>
            <w:r>
              <w:rPr>
                <w:rFonts w:hint="eastAsia" w:ascii="宋体" w:hAnsi="宋体"/>
                <w:color w:val="auto"/>
                <w:kern w:val="0"/>
                <w:szCs w:val="24"/>
              </w:rPr>
              <w:t>历</w:t>
            </w:r>
          </w:p>
        </w:tc>
        <w:tc>
          <w:tcPr>
            <w:tcW w:w="2325" w:type="dxa"/>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职</w:t>
            </w:r>
            <w:r>
              <w:rPr>
                <w:rFonts w:ascii="宋体" w:hAnsi="宋体"/>
                <w:color w:val="auto"/>
                <w:kern w:val="0"/>
                <w:szCs w:val="24"/>
              </w:rPr>
              <w:t xml:space="preserve">  </w:t>
            </w:r>
            <w:r>
              <w:rPr>
                <w:rFonts w:hint="eastAsia" w:ascii="宋体" w:hAnsi="宋体"/>
                <w:color w:val="auto"/>
                <w:kern w:val="0"/>
                <w:szCs w:val="24"/>
              </w:rPr>
              <w:t>称</w:t>
            </w:r>
          </w:p>
        </w:tc>
        <w:tc>
          <w:tcPr>
            <w:tcW w:w="1176" w:type="dxa"/>
            <w:gridSpan w:val="2"/>
            <w:vAlign w:val="center"/>
          </w:tcPr>
          <w:p>
            <w:pPr>
              <w:spacing w:line="300" w:lineRule="auto"/>
              <w:ind w:firstLine="0" w:firstLineChars="0"/>
              <w:jc w:val="center"/>
              <w:rPr>
                <w:rFonts w:ascii="宋体"/>
                <w:color w:val="auto"/>
                <w:kern w:val="0"/>
                <w:szCs w:val="24"/>
              </w:rPr>
            </w:pPr>
          </w:p>
        </w:tc>
        <w:tc>
          <w:tcPr>
            <w:tcW w:w="1010"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职</w:t>
            </w:r>
            <w:r>
              <w:rPr>
                <w:rFonts w:ascii="宋体" w:hAnsi="宋体"/>
                <w:color w:val="auto"/>
                <w:kern w:val="0"/>
                <w:szCs w:val="24"/>
              </w:rPr>
              <w:t xml:space="preserve"> </w:t>
            </w:r>
            <w:r>
              <w:rPr>
                <w:rFonts w:hint="eastAsia" w:ascii="宋体" w:hAnsi="宋体"/>
                <w:color w:val="auto"/>
                <w:kern w:val="0"/>
                <w:szCs w:val="24"/>
              </w:rPr>
              <w:t>务</w:t>
            </w:r>
          </w:p>
        </w:tc>
        <w:tc>
          <w:tcPr>
            <w:tcW w:w="1161" w:type="dxa"/>
            <w:vAlign w:val="center"/>
          </w:tcPr>
          <w:p>
            <w:pPr>
              <w:spacing w:line="300" w:lineRule="auto"/>
              <w:ind w:firstLine="0" w:firstLineChars="0"/>
              <w:jc w:val="center"/>
              <w:rPr>
                <w:rFonts w:ascii="宋体"/>
                <w:color w:val="auto"/>
                <w:kern w:val="0"/>
                <w:szCs w:val="24"/>
              </w:rPr>
            </w:pPr>
          </w:p>
        </w:tc>
        <w:tc>
          <w:tcPr>
            <w:tcW w:w="2321" w:type="dxa"/>
            <w:gridSpan w:val="3"/>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拟在本合同任职</w:t>
            </w:r>
          </w:p>
        </w:tc>
        <w:tc>
          <w:tcPr>
            <w:tcW w:w="2325" w:type="dxa"/>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毕业学校</w:t>
            </w:r>
          </w:p>
        </w:tc>
        <w:tc>
          <w:tcPr>
            <w:tcW w:w="7993" w:type="dxa"/>
            <w:gridSpan w:val="8"/>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年毕业于</w:t>
            </w:r>
            <w:r>
              <w:rPr>
                <w:rFonts w:ascii="宋体" w:hAnsi="宋体"/>
                <w:color w:val="auto"/>
                <w:kern w:val="0"/>
                <w:szCs w:val="24"/>
              </w:rPr>
              <w:t xml:space="preserve">            </w:t>
            </w:r>
            <w:r>
              <w:rPr>
                <w:rFonts w:hint="eastAsia" w:ascii="宋体" w:hAnsi="宋体"/>
                <w:color w:val="auto"/>
                <w:kern w:val="0"/>
                <w:szCs w:val="24"/>
              </w:rPr>
              <w:t>学校</w:t>
            </w:r>
            <w:r>
              <w:rPr>
                <w:rFonts w:ascii="宋体" w:hAnsi="宋体"/>
                <w:color w:val="auto"/>
                <w:kern w:val="0"/>
                <w:szCs w:val="24"/>
              </w:rPr>
              <w:t xml:space="preserve">        </w:t>
            </w:r>
            <w:r>
              <w:rPr>
                <w:rFonts w:hint="eastAsia" w:ascii="宋体" w:hAnsi="宋体"/>
                <w:color w:val="auto"/>
                <w:kern w:val="0"/>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9"/>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3" w:type="dxa"/>
            <w:gridSpan w:val="2"/>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时</w:t>
            </w:r>
            <w:r>
              <w:rPr>
                <w:rFonts w:ascii="宋体" w:hAnsi="宋体"/>
                <w:color w:val="auto"/>
                <w:kern w:val="0"/>
                <w:szCs w:val="24"/>
              </w:rPr>
              <w:t xml:space="preserve">  </w:t>
            </w:r>
            <w:r>
              <w:rPr>
                <w:rFonts w:hint="eastAsia" w:ascii="宋体" w:hAnsi="宋体"/>
                <w:color w:val="auto"/>
                <w:kern w:val="0"/>
                <w:szCs w:val="24"/>
              </w:rPr>
              <w:t>间</w:t>
            </w:r>
          </w:p>
        </w:tc>
        <w:tc>
          <w:tcPr>
            <w:tcW w:w="3728" w:type="dxa"/>
            <w:gridSpan w:val="4"/>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参加过的类似项目</w:t>
            </w:r>
          </w:p>
        </w:tc>
        <w:tc>
          <w:tcPr>
            <w:tcW w:w="1374" w:type="dxa"/>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担任职务</w:t>
            </w:r>
          </w:p>
        </w:tc>
        <w:tc>
          <w:tcPr>
            <w:tcW w:w="2501" w:type="dxa"/>
            <w:gridSpan w:val="2"/>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p>
        </w:tc>
        <w:tc>
          <w:tcPr>
            <w:tcW w:w="1374" w:type="dxa"/>
            <w:vAlign w:val="center"/>
          </w:tcPr>
          <w:p>
            <w:pPr>
              <w:spacing w:line="300" w:lineRule="auto"/>
              <w:ind w:firstLine="0" w:firstLineChars="0"/>
              <w:jc w:val="center"/>
              <w:rPr>
                <w:rFonts w:ascii="宋体"/>
                <w:color w:val="auto"/>
                <w:kern w:val="0"/>
                <w:szCs w:val="24"/>
              </w:rPr>
            </w:pPr>
          </w:p>
        </w:tc>
        <w:tc>
          <w:tcPr>
            <w:tcW w:w="2501" w:type="dxa"/>
            <w:gridSpan w:val="2"/>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tcBorders>
              <w:right w:val="single" w:color="auto" w:sz="2" w:space="0"/>
            </w:tcBorders>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获奖情况</w:t>
            </w:r>
          </w:p>
        </w:tc>
        <w:tc>
          <w:tcPr>
            <w:tcW w:w="7603" w:type="dxa"/>
            <w:gridSpan w:val="7"/>
            <w:tcBorders>
              <w:left w:val="single" w:color="auto" w:sz="2" w:space="0"/>
            </w:tcBorders>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Merge w:val="restart"/>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目前任职情况</w:t>
            </w:r>
          </w:p>
        </w:tc>
        <w:tc>
          <w:tcPr>
            <w:tcW w:w="3728" w:type="dxa"/>
            <w:gridSpan w:val="4"/>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项目名称</w:t>
            </w:r>
          </w:p>
        </w:tc>
        <w:tc>
          <w:tcPr>
            <w:tcW w:w="3875" w:type="dxa"/>
            <w:gridSpan w:val="3"/>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83" w:type="dxa"/>
            <w:gridSpan w:val="2"/>
            <w:vMerge w:val="continue"/>
            <w:vAlign w:val="center"/>
          </w:tcPr>
          <w:p>
            <w:pPr>
              <w:spacing w:line="300" w:lineRule="auto"/>
              <w:ind w:firstLine="0" w:firstLineChars="0"/>
              <w:jc w:val="center"/>
              <w:rPr>
                <w:rFonts w:ascii="宋体"/>
                <w:color w:val="auto"/>
                <w:kern w:val="0"/>
                <w:szCs w:val="24"/>
              </w:rPr>
            </w:pPr>
          </w:p>
        </w:tc>
        <w:tc>
          <w:tcPr>
            <w:tcW w:w="3728" w:type="dxa"/>
            <w:gridSpan w:val="4"/>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担任职务</w:t>
            </w:r>
          </w:p>
        </w:tc>
        <w:tc>
          <w:tcPr>
            <w:tcW w:w="3875" w:type="dxa"/>
            <w:gridSpan w:val="3"/>
            <w:vAlign w:val="center"/>
          </w:tcPr>
          <w:p>
            <w:pPr>
              <w:spacing w:line="300" w:lineRule="auto"/>
              <w:ind w:firstLine="0" w:firstLineChars="0"/>
              <w:jc w:val="center"/>
              <w:rPr>
                <w:rFonts w:ascii="宋体"/>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683" w:type="dxa"/>
            <w:gridSpan w:val="2"/>
            <w:vAlign w:val="center"/>
          </w:tcPr>
          <w:p>
            <w:pPr>
              <w:spacing w:line="300" w:lineRule="auto"/>
              <w:ind w:firstLine="0" w:firstLineChars="0"/>
              <w:jc w:val="center"/>
              <w:rPr>
                <w:rFonts w:ascii="宋体"/>
                <w:color w:val="auto"/>
                <w:kern w:val="0"/>
                <w:szCs w:val="24"/>
              </w:rPr>
            </w:pPr>
            <w:r>
              <w:rPr>
                <w:rFonts w:hint="eastAsia" w:ascii="宋体" w:hAnsi="宋体"/>
                <w:color w:val="auto"/>
                <w:kern w:val="0"/>
                <w:szCs w:val="24"/>
              </w:rPr>
              <w:t>备注</w:t>
            </w:r>
          </w:p>
        </w:tc>
        <w:tc>
          <w:tcPr>
            <w:tcW w:w="7603" w:type="dxa"/>
            <w:gridSpan w:val="7"/>
            <w:vAlign w:val="center"/>
          </w:tcPr>
          <w:p>
            <w:pPr>
              <w:spacing w:line="300" w:lineRule="auto"/>
              <w:ind w:firstLine="0" w:firstLineChars="0"/>
              <w:jc w:val="center"/>
              <w:rPr>
                <w:rFonts w:ascii="宋体"/>
                <w:color w:val="auto"/>
                <w:kern w:val="0"/>
                <w:szCs w:val="24"/>
              </w:rPr>
            </w:pPr>
          </w:p>
        </w:tc>
      </w:tr>
    </w:tbl>
    <w:p>
      <w:pPr>
        <w:ind w:firstLine="0" w:firstLineChars="0"/>
        <w:rPr>
          <w:rFonts w:ascii="宋体"/>
          <w:color w:val="auto"/>
          <w:sz w:val="21"/>
          <w:szCs w:val="21"/>
        </w:rPr>
      </w:pPr>
      <w:r>
        <w:rPr>
          <w:rFonts w:hint="eastAsia" w:ascii="宋体" w:hAnsi="宋体"/>
          <w:color w:val="auto"/>
          <w:sz w:val="21"/>
          <w:szCs w:val="21"/>
        </w:rPr>
        <w:t>说明：本表中的项目人员应附身份证复印件。</w:t>
      </w:r>
      <w:bookmarkStart w:id="189" w:name="_Toc454834954"/>
      <w:bookmarkStart w:id="190" w:name="_Toc449699442"/>
    </w:p>
    <w:p>
      <w:pPr>
        <w:pStyle w:val="14"/>
        <w:spacing w:before="156" w:after="156"/>
        <w:rPr>
          <w:rFonts w:ascii="宋体"/>
          <w:b w:val="0"/>
          <w:color w:val="auto"/>
        </w:rPr>
      </w:pPr>
      <w:bookmarkStart w:id="191" w:name="_Toc462131556"/>
      <w:bookmarkStart w:id="192" w:name="_Toc456648507"/>
      <w:r>
        <w:rPr>
          <w:rFonts w:ascii="宋体"/>
          <w:b w:val="0"/>
          <w:color w:val="auto"/>
        </w:rPr>
        <w:br w:type="page"/>
      </w:r>
      <w:bookmarkStart w:id="193" w:name="_Toc514083114"/>
      <w:bookmarkStart w:id="194" w:name="_Toc517640286"/>
      <w:bookmarkStart w:id="195" w:name="_Toc517640372"/>
      <w:r>
        <w:rPr>
          <w:color w:val="auto"/>
        </w:rPr>
        <w:t>八、业绩一览表</w:t>
      </w:r>
      <w:bookmarkEnd w:id="189"/>
      <w:bookmarkEnd w:id="190"/>
      <w:bookmarkEnd w:id="191"/>
      <w:bookmarkEnd w:id="192"/>
      <w:bookmarkEnd w:id="193"/>
      <w:bookmarkEnd w:id="194"/>
      <w:bookmarkEnd w:id="195"/>
    </w:p>
    <w:tbl>
      <w:tblPr>
        <w:tblStyle w:val="17"/>
        <w:tblpPr w:leftFromText="180" w:rightFromText="180" w:vertAnchor="text" w:horzAnchor="margin" w:tblpXSpec="center" w:tblpY="48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15"/>
        <w:gridCol w:w="1345"/>
        <w:gridCol w:w="1161"/>
        <w:gridCol w:w="1345"/>
        <w:gridCol w:w="1883"/>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12"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序号</w:t>
            </w:r>
          </w:p>
        </w:tc>
        <w:tc>
          <w:tcPr>
            <w:tcW w:w="1615"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委托人名称</w:t>
            </w:r>
          </w:p>
        </w:tc>
        <w:tc>
          <w:tcPr>
            <w:tcW w:w="1345"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项目名称</w:t>
            </w:r>
          </w:p>
        </w:tc>
        <w:tc>
          <w:tcPr>
            <w:tcW w:w="1161"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商品类别</w:t>
            </w:r>
          </w:p>
        </w:tc>
        <w:tc>
          <w:tcPr>
            <w:tcW w:w="1345"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合同金额</w:t>
            </w:r>
          </w:p>
          <w:p>
            <w:pPr>
              <w:spacing w:line="300" w:lineRule="auto"/>
              <w:ind w:firstLine="0" w:firstLineChars="0"/>
              <w:jc w:val="center"/>
              <w:rPr>
                <w:rFonts w:ascii="宋体"/>
                <w:color w:val="auto"/>
                <w:sz w:val="21"/>
                <w:szCs w:val="21"/>
              </w:rPr>
            </w:pPr>
            <w:r>
              <w:rPr>
                <w:rFonts w:hint="eastAsia" w:ascii="宋体" w:hAnsi="宋体"/>
                <w:color w:val="auto"/>
                <w:sz w:val="21"/>
                <w:szCs w:val="21"/>
              </w:rPr>
              <w:t>（万元）</w:t>
            </w:r>
          </w:p>
        </w:tc>
        <w:tc>
          <w:tcPr>
            <w:tcW w:w="1883" w:type="dxa"/>
            <w:vAlign w:val="center"/>
          </w:tcPr>
          <w:p>
            <w:pPr>
              <w:spacing w:line="300" w:lineRule="auto"/>
              <w:ind w:firstLine="0" w:firstLineChars="0"/>
              <w:jc w:val="center"/>
              <w:rPr>
                <w:rFonts w:ascii="宋体"/>
                <w:color w:val="auto"/>
                <w:sz w:val="21"/>
                <w:szCs w:val="21"/>
              </w:rPr>
            </w:pPr>
            <w:r>
              <w:rPr>
                <w:rFonts w:hint="eastAsia" w:ascii="宋体" w:hAnsi="宋体"/>
                <w:color w:val="auto"/>
                <w:sz w:val="21"/>
                <w:szCs w:val="21"/>
              </w:rPr>
              <w:t>合同签订时间</w:t>
            </w: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2" w:type="dxa"/>
            <w:vAlign w:val="center"/>
          </w:tcPr>
          <w:p>
            <w:pPr>
              <w:spacing w:line="300" w:lineRule="auto"/>
              <w:ind w:firstLine="0" w:firstLineChars="0"/>
              <w:jc w:val="center"/>
              <w:rPr>
                <w:rFonts w:ascii="宋体"/>
                <w:color w:val="auto"/>
                <w:sz w:val="21"/>
                <w:szCs w:val="21"/>
              </w:rPr>
            </w:pPr>
          </w:p>
        </w:tc>
        <w:tc>
          <w:tcPr>
            <w:tcW w:w="1615"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161" w:type="dxa"/>
            <w:vAlign w:val="center"/>
          </w:tcPr>
          <w:p>
            <w:pPr>
              <w:spacing w:line="300" w:lineRule="auto"/>
              <w:ind w:firstLine="0" w:firstLineChars="0"/>
              <w:jc w:val="center"/>
              <w:rPr>
                <w:rFonts w:ascii="宋体"/>
                <w:color w:val="auto"/>
                <w:sz w:val="21"/>
                <w:szCs w:val="21"/>
              </w:rPr>
            </w:pPr>
          </w:p>
        </w:tc>
        <w:tc>
          <w:tcPr>
            <w:tcW w:w="1345" w:type="dxa"/>
            <w:vAlign w:val="center"/>
          </w:tcPr>
          <w:p>
            <w:pPr>
              <w:spacing w:line="300" w:lineRule="auto"/>
              <w:ind w:firstLine="0" w:firstLineChars="0"/>
              <w:jc w:val="center"/>
              <w:rPr>
                <w:rFonts w:ascii="宋体"/>
                <w:color w:val="auto"/>
                <w:sz w:val="21"/>
                <w:szCs w:val="21"/>
              </w:rPr>
            </w:pPr>
          </w:p>
        </w:tc>
        <w:tc>
          <w:tcPr>
            <w:tcW w:w="1883" w:type="dxa"/>
            <w:vAlign w:val="center"/>
          </w:tcPr>
          <w:p>
            <w:pPr>
              <w:spacing w:line="300" w:lineRule="auto"/>
              <w:ind w:firstLine="0" w:firstLineChars="0"/>
              <w:jc w:val="center"/>
              <w:rPr>
                <w:rFonts w:ascii="宋体"/>
                <w:color w:val="auto"/>
                <w:sz w:val="21"/>
                <w:szCs w:val="21"/>
              </w:rPr>
            </w:pPr>
          </w:p>
        </w:tc>
        <w:tc>
          <w:tcPr>
            <w:tcW w:w="1079" w:type="dxa"/>
            <w:vAlign w:val="center"/>
          </w:tcPr>
          <w:p>
            <w:pPr>
              <w:spacing w:line="300" w:lineRule="auto"/>
              <w:ind w:firstLine="0" w:firstLineChars="0"/>
              <w:jc w:val="center"/>
              <w:rPr>
                <w:rFonts w:ascii="宋体"/>
                <w:color w:val="auto"/>
                <w:sz w:val="21"/>
                <w:szCs w:val="21"/>
              </w:rPr>
            </w:pPr>
          </w:p>
        </w:tc>
      </w:tr>
    </w:tbl>
    <w:p>
      <w:pPr>
        <w:ind w:firstLine="0" w:firstLineChars="0"/>
        <w:rPr>
          <w:color w:val="auto"/>
        </w:rPr>
      </w:pPr>
      <w:bookmarkStart w:id="196" w:name="_Toc500403162"/>
    </w:p>
    <w:p>
      <w:pPr>
        <w:ind w:firstLine="0" w:firstLineChars="0"/>
        <w:rPr>
          <w:rFonts w:ascii="宋体"/>
          <w:color w:val="auto"/>
          <w:sz w:val="32"/>
          <w:szCs w:val="32"/>
        </w:rPr>
      </w:pPr>
      <w:bookmarkStart w:id="197" w:name="_Toc514083115"/>
      <w:bookmarkStart w:id="198" w:name="_Toc517640287"/>
      <w:bookmarkStart w:id="199" w:name="_Toc517640235"/>
      <w:bookmarkStart w:id="200" w:name="_Toc517640373"/>
      <w:r>
        <w:rPr>
          <w:rFonts w:hint="eastAsia"/>
          <w:color w:val="auto"/>
        </w:rPr>
        <w:t>注：提供合同复印件，合同金额涉及商业机密的，请比选申请人根据评分办法自行决定是否填写。</w:t>
      </w:r>
      <w:bookmarkEnd w:id="197"/>
      <w:bookmarkEnd w:id="198"/>
      <w:bookmarkEnd w:id="199"/>
      <w:bookmarkEnd w:id="200"/>
    </w:p>
    <w:p>
      <w:pPr>
        <w:widowControl/>
        <w:ind w:firstLine="0" w:firstLineChars="0"/>
        <w:rPr>
          <w:rFonts w:ascii="宋体"/>
          <w:color w:val="auto"/>
          <w:sz w:val="32"/>
          <w:szCs w:val="32"/>
        </w:rPr>
      </w:pPr>
      <w:r>
        <w:rPr>
          <w:rFonts w:ascii="宋体"/>
          <w:color w:val="auto"/>
          <w:sz w:val="32"/>
          <w:szCs w:val="32"/>
        </w:rPr>
        <w:br w:type="page"/>
      </w:r>
    </w:p>
    <w:bookmarkEnd w:id="196"/>
    <w:p>
      <w:pPr>
        <w:pStyle w:val="14"/>
        <w:spacing w:before="156" w:after="156"/>
        <w:rPr>
          <w:rStyle w:val="36"/>
          <w:rFonts w:ascii="Calibri Light" w:hAnsi="Calibri Light" w:cs="Times New Roman"/>
          <w:b/>
          <w:color w:val="auto"/>
          <w:sz w:val="32"/>
          <w:szCs w:val="32"/>
        </w:rPr>
      </w:pPr>
      <w:bookmarkStart w:id="201" w:name="_Toc514083116"/>
      <w:bookmarkStart w:id="202" w:name="_Toc517640375"/>
      <w:bookmarkStart w:id="203" w:name="_Toc517640289"/>
      <w:r>
        <w:rPr>
          <w:rStyle w:val="36"/>
          <w:rFonts w:hint="eastAsia" w:ascii="Calibri Light" w:hAnsi="Calibri Light" w:cs="Times New Roman"/>
          <w:b/>
          <w:color w:val="auto"/>
          <w:sz w:val="32"/>
          <w:szCs w:val="32"/>
        </w:rPr>
        <w:t>九、</w:t>
      </w:r>
      <w:bookmarkEnd w:id="201"/>
      <w:bookmarkEnd w:id="202"/>
      <w:bookmarkEnd w:id="203"/>
      <w:r>
        <w:rPr>
          <w:rStyle w:val="36"/>
          <w:rFonts w:hint="eastAsia" w:ascii="Calibri Light" w:hAnsi="Calibri Light" w:cs="Times New Roman"/>
          <w:b/>
          <w:color w:val="auto"/>
          <w:sz w:val="32"/>
          <w:szCs w:val="32"/>
        </w:rPr>
        <w:t>服务方案</w:t>
      </w:r>
    </w:p>
    <w:p>
      <w:pPr>
        <w:ind w:firstLine="0" w:firstLineChars="0"/>
        <w:rPr>
          <w:color w:val="auto"/>
        </w:rPr>
      </w:pPr>
    </w:p>
    <w:p>
      <w:pPr>
        <w:ind w:firstLine="0" w:firstLineChars="0"/>
        <w:jc w:val="center"/>
        <w:rPr>
          <w:rFonts w:ascii="宋体"/>
          <w:color w:val="auto"/>
        </w:rPr>
      </w:pPr>
      <w:r>
        <w:rPr>
          <w:rFonts w:hint="eastAsia" w:ascii="宋体" w:hAnsi="宋体"/>
          <w:color w:val="auto"/>
        </w:rPr>
        <w:t>（格式自拟）</w:t>
      </w:r>
    </w:p>
    <w:p>
      <w:pPr>
        <w:ind w:firstLine="0" w:firstLineChars="0"/>
        <w:rPr>
          <w:rFonts w:ascii="宋体"/>
          <w:color w:val="auto"/>
        </w:rPr>
      </w:pPr>
    </w:p>
    <w:p>
      <w:pPr>
        <w:ind w:firstLine="0" w:firstLineChars="0"/>
        <w:rPr>
          <w:rFonts w:ascii="宋体"/>
          <w:color w:val="auto"/>
        </w:rPr>
      </w:pPr>
    </w:p>
    <w:p>
      <w:pPr>
        <w:pStyle w:val="14"/>
        <w:spacing w:before="156" w:after="156"/>
        <w:rPr>
          <w:rFonts w:ascii="宋体"/>
          <w:b w:val="0"/>
          <w:color w:val="auto"/>
        </w:rPr>
      </w:pPr>
      <w:r>
        <w:rPr>
          <w:rFonts w:ascii="宋体"/>
          <w:b w:val="0"/>
          <w:color w:val="auto"/>
          <w:lang w:val="zh-CN"/>
        </w:rPr>
        <w:br w:type="page"/>
      </w:r>
      <w:bookmarkStart w:id="204" w:name="_Toc456648509"/>
      <w:bookmarkStart w:id="205" w:name="_Toc517640376"/>
      <w:bookmarkStart w:id="206" w:name="_Toc500403166"/>
      <w:bookmarkStart w:id="207" w:name="_Toc514083117"/>
      <w:bookmarkStart w:id="208" w:name="_Toc454834956"/>
      <w:bookmarkStart w:id="209" w:name="_Toc449699445"/>
      <w:bookmarkStart w:id="210" w:name="_Toc517640290"/>
      <w:bookmarkStart w:id="211" w:name="_Toc462131558"/>
      <w:r>
        <w:rPr>
          <w:color w:val="auto"/>
        </w:rPr>
        <w:t>十、比选申请人须知规定的其他材料</w:t>
      </w:r>
      <w:bookmarkEnd w:id="204"/>
      <w:bookmarkEnd w:id="205"/>
      <w:bookmarkEnd w:id="206"/>
      <w:bookmarkEnd w:id="207"/>
      <w:bookmarkEnd w:id="208"/>
      <w:bookmarkEnd w:id="209"/>
      <w:bookmarkEnd w:id="210"/>
      <w:bookmarkEnd w:id="211"/>
    </w:p>
    <w:bookmarkEnd w:id="0"/>
    <w:p>
      <w:pPr>
        <w:rPr>
          <w:color w:val="auto"/>
        </w:rPr>
      </w:pPr>
      <w:r>
        <w:rPr>
          <w:color w:val="auto"/>
        </w:rPr>
        <w:br w:type="page"/>
      </w:r>
    </w:p>
    <w:p>
      <w:pPr>
        <w:pStyle w:val="3"/>
        <w:spacing w:before="312" w:after="312"/>
        <w:rPr>
          <w:rFonts w:hint="eastAsia"/>
          <w:color w:val="auto"/>
        </w:rPr>
      </w:pPr>
      <w:bookmarkStart w:id="212" w:name="_Toc22228"/>
      <w:r>
        <w:rPr>
          <w:color w:val="auto"/>
        </w:rPr>
        <w:t>第五章</w:t>
      </w:r>
      <w:r>
        <w:rPr>
          <w:rFonts w:hint="eastAsia"/>
          <w:color w:val="auto"/>
          <w:lang w:val="en-US" w:eastAsia="zh-CN"/>
        </w:rPr>
        <w:t xml:space="preserve"> </w:t>
      </w:r>
      <w:r>
        <w:rPr>
          <w:color w:val="auto"/>
        </w:rPr>
        <w:t>采购需求</w:t>
      </w:r>
      <w:bookmarkEnd w:id="21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857"/>
        <w:gridCol w:w="2584"/>
        <w:gridCol w:w="1098"/>
        <w:gridCol w:w="1100"/>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序号</w:t>
            </w:r>
          </w:p>
        </w:tc>
        <w:tc>
          <w:tcPr>
            <w:tcW w:w="1857" w:type="dxa"/>
          </w:tcPr>
          <w:p>
            <w:pPr>
              <w:ind w:left="0" w:leftChars="0" w:firstLine="0" w:firstLineChars="0"/>
              <w:jc w:val="center"/>
              <w:rPr>
                <w:rFonts w:hint="default" w:eastAsia="宋体"/>
                <w:color w:val="auto"/>
                <w:vertAlign w:val="baseline"/>
                <w:lang w:val="en-US" w:eastAsia="zh-CN"/>
              </w:rPr>
            </w:pPr>
            <w:r>
              <w:rPr>
                <w:rFonts w:hint="eastAsia"/>
                <w:color w:val="auto"/>
                <w:vertAlign w:val="baseline"/>
                <w:lang w:val="en-US" w:eastAsia="zh-CN"/>
              </w:rPr>
              <w:t>项目名称</w:t>
            </w:r>
          </w:p>
        </w:tc>
        <w:tc>
          <w:tcPr>
            <w:tcW w:w="2584" w:type="dxa"/>
          </w:tcPr>
          <w:p>
            <w:pPr>
              <w:ind w:left="0" w:leftChars="0" w:firstLine="0" w:firstLineChars="0"/>
              <w:jc w:val="center"/>
              <w:rPr>
                <w:rFonts w:hint="default" w:eastAsia="宋体"/>
                <w:color w:val="auto"/>
                <w:vertAlign w:val="baseline"/>
                <w:lang w:val="en-US" w:eastAsia="zh-CN"/>
              </w:rPr>
            </w:pPr>
            <w:r>
              <w:rPr>
                <w:rFonts w:hint="eastAsia"/>
                <w:color w:val="auto"/>
                <w:vertAlign w:val="baseline"/>
                <w:lang w:val="en-US" w:eastAsia="zh-CN"/>
              </w:rPr>
              <w:t>规格型号</w:t>
            </w:r>
          </w:p>
        </w:tc>
        <w:tc>
          <w:tcPr>
            <w:tcW w:w="1098" w:type="dxa"/>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单位</w:t>
            </w:r>
          </w:p>
        </w:tc>
        <w:tc>
          <w:tcPr>
            <w:tcW w:w="1100" w:type="dxa"/>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数量</w:t>
            </w:r>
          </w:p>
        </w:tc>
        <w:tc>
          <w:tcPr>
            <w:tcW w:w="1673" w:type="dxa"/>
          </w:tcPr>
          <w:p>
            <w:pPr>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1</w:t>
            </w:r>
          </w:p>
        </w:tc>
        <w:tc>
          <w:tcPr>
            <w:tcW w:w="1857" w:type="dxa"/>
            <w:vAlign w:val="center"/>
          </w:tcPr>
          <w:p>
            <w:pPr>
              <w:ind w:left="0" w:leftChars="0" w:firstLine="0" w:firstLineChars="0"/>
              <w:jc w:val="center"/>
              <w:rPr>
                <w:rFonts w:hint="eastAsia"/>
                <w:color w:val="auto"/>
                <w:vertAlign w:val="baseline"/>
              </w:rPr>
            </w:pPr>
          </w:p>
        </w:tc>
        <w:tc>
          <w:tcPr>
            <w:tcW w:w="2584" w:type="dxa"/>
            <w:vAlign w:val="center"/>
          </w:tcPr>
          <w:p>
            <w:pPr>
              <w:spacing w:line="240" w:lineRule="auto"/>
              <w:ind w:firstLine="0" w:firstLineChars="0"/>
              <w:jc w:val="center"/>
              <w:rPr>
                <w:rFonts w:hint="eastAsia"/>
                <w:color w:val="auto"/>
                <w:vertAlign w:val="baseline"/>
              </w:rPr>
            </w:pPr>
          </w:p>
        </w:tc>
        <w:tc>
          <w:tcPr>
            <w:tcW w:w="1098" w:type="dxa"/>
            <w:vAlign w:val="center"/>
          </w:tcPr>
          <w:p>
            <w:pPr>
              <w:ind w:left="0" w:leftChars="0" w:firstLine="0" w:firstLineChars="0"/>
              <w:jc w:val="center"/>
              <w:rPr>
                <w:rFonts w:hint="default" w:eastAsia="宋体"/>
                <w:color w:val="auto"/>
                <w:vertAlign w:val="baseline"/>
                <w:lang w:val="en-US" w:eastAsia="zh-CN"/>
              </w:rPr>
            </w:pPr>
          </w:p>
        </w:tc>
        <w:tc>
          <w:tcPr>
            <w:tcW w:w="1100" w:type="dxa"/>
            <w:vAlign w:val="center"/>
          </w:tcPr>
          <w:p>
            <w:pPr>
              <w:ind w:left="0" w:leftChars="0" w:firstLine="0" w:firstLineChars="0"/>
              <w:jc w:val="center"/>
              <w:rPr>
                <w:rFonts w:hint="default" w:eastAsia="宋体"/>
                <w:color w:val="auto"/>
                <w:vertAlign w:val="baseline"/>
                <w:lang w:val="en-US" w:eastAsia="zh-CN"/>
              </w:rPr>
            </w:pPr>
          </w:p>
        </w:tc>
        <w:tc>
          <w:tcPr>
            <w:tcW w:w="1673" w:type="dxa"/>
            <w:vAlign w:val="center"/>
          </w:tcPr>
          <w:p>
            <w:pPr>
              <w:spacing w:line="240" w:lineRule="auto"/>
              <w:ind w:firstLine="0" w:firstLineChars="0"/>
              <w:jc w:val="center"/>
              <w:rPr>
                <w:rFonts w:hint="default" w:ascii="宋体" w:hAnsi="宋体" w:cs="Arial"/>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2</w:t>
            </w:r>
          </w:p>
        </w:tc>
        <w:tc>
          <w:tcPr>
            <w:tcW w:w="1857" w:type="dxa"/>
            <w:vAlign w:val="center"/>
          </w:tcPr>
          <w:p>
            <w:pPr>
              <w:ind w:left="0" w:leftChars="0" w:firstLine="0" w:firstLineChars="0"/>
              <w:jc w:val="center"/>
              <w:rPr>
                <w:rFonts w:hint="eastAsia"/>
                <w:color w:val="auto"/>
                <w:vertAlign w:val="baseline"/>
              </w:rPr>
            </w:pPr>
          </w:p>
        </w:tc>
        <w:tc>
          <w:tcPr>
            <w:tcW w:w="2584" w:type="dxa"/>
            <w:vAlign w:val="center"/>
          </w:tcPr>
          <w:p>
            <w:pPr>
              <w:spacing w:line="240" w:lineRule="auto"/>
              <w:ind w:firstLine="0" w:firstLineChars="0"/>
              <w:jc w:val="center"/>
              <w:rPr>
                <w:rFonts w:hint="eastAsia" w:ascii="宋体" w:hAnsi="宋体" w:cs="Arial"/>
                <w:color w:val="auto"/>
                <w:sz w:val="21"/>
                <w:szCs w:val="21"/>
              </w:rPr>
            </w:pPr>
          </w:p>
        </w:tc>
        <w:tc>
          <w:tcPr>
            <w:tcW w:w="1098" w:type="dxa"/>
            <w:vAlign w:val="center"/>
          </w:tcPr>
          <w:p>
            <w:pPr>
              <w:ind w:left="0" w:leftChars="0" w:firstLine="0" w:firstLineChars="0"/>
              <w:jc w:val="center"/>
              <w:rPr>
                <w:rFonts w:hint="eastAsia" w:eastAsia="宋体"/>
                <w:color w:val="auto"/>
                <w:vertAlign w:val="baseline"/>
                <w:lang w:val="en-US" w:eastAsia="zh-CN"/>
              </w:rPr>
            </w:pPr>
          </w:p>
        </w:tc>
        <w:tc>
          <w:tcPr>
            <w:tcW w:w="1100" w:type="dxa"/>
            <w:vAlign w:val="center"/>
          </w:tcPr>
          <w:p>
            <w:pPr>
              <w:ind w:left="0" w:leftChars="0" w:firstLine="0" w:firstLineChars="0"/>
              <w:jc w:val="center"/>
              <w:rPr>
                <w:rFonts w:hint="default" w:eastAsia="宋体"/>
                <w:color w:val="auto"/>
                <w:vertAlign w:val="baseline"/>
                <w:lang w:val="en-US" w:eastAsia="zh-CN"/>
              </w:rPr>
            </w:pPr>
          </w:p>
        </w:tc>
        <w:tc>
          <w:tcPr>
            <w:tcW w:w="1673" w:type="dxa"/>
            <w:vAlign w:val="center"/>
          </w:tcPr>
          <w:p>
            <w:pPr>
              <w:spacing w:line="240" w:lineRule="auto"/>
              <w:ind w:firstLine="0" w:firstLineChars="0"/>
              <w:jc w:val="center"/>
              <w:rPr>
                <w:rFonts w:hint="eastAsia" w:ascii="宋体" w:hAnsi="宋体" w:cs="Arial"/>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3</w:t>
            </w:r>
          </w:p>
        </w:tc>
        <w:tc>
          <w:tcPr>
            <w:tcW w:w="1857" w:type="dxa"/>
            <w:vAlign w:val="center"/>
          </w:tcPr>
          <w:p>
            <w:pPr>
              <w:ind w:left="0" w:leftChars="0" w:firstLine="0" w:firstLineChars="0"/>
              <w:jc w:val="center"/>
              <w:rPr>
                <w:rFonts w:hint="default" w:eastAsia="宋体"/>
                <w:color w:val="auto"/>
                <w:vertAlign w:val="baseline"/>
                <w:lang w:val="en-US" w:eastAsia="zh-CN"/>
              </w:rPr>
            </w:pPr>
          </w:p>
        </w:tc>
        <w:tc>
          <w:tcPr>
            <w:tcW w:w="2584" w:type="dxa"/>
            <w:vAlign w:val="center"/>
          </w:tcPr>
          <w:p>
            <w:pPr>
              <w:spacing w:line="240" w:lineRule="auto"/>
              <w:ind w:firstLine="0" w:firstLineChars="0"/>
              <w:jc w:val="center"/>
              <w:rPr>
                <w:rFonts w:hint="eastAsia" w:ascii="宋体" w:hAnsi="宋体" w:cs="Arial"/>
                <w:color w:val="auto"/>
                <w:sz w:val="21"/>
                <w:szCs w:val="21"/>
              </w:rPr>
            </w:pPr>
          </w:p>
        </w:tc>
        <w:tc>
          <w:tcPr>
            <w:tcW w:w="1098" w:type="dxa"/>
            <w:vAlign w:val="center"/>
          </w:tcPr>
          <w:p>
            <w:pPr>
              <w:ind w:left="0" w:leftChars="0" w:firstLine="0" w:firstLineChars="0"/>
              <w:jc w:val="center"/>
              <w:rPr>
                <w:rFonts w:hint="eastAsia" w:ascii="Calibri" w:hAnsi="Calibri" w:eastAsia="宋体" w:cs="黑体"/>
                <w:color w:val="auto"/>
                <w:kern w:val="2"/>
                <w:sz w:val="24"/>
                <w:szCs w:val="22"/>
                <w:vertAlign w:val="baseline"/>
                <w:lang w:val="en-US" w:eastAsia="zh-CN" w:bidi="ar-SA"/>
              </w:rPr>
            </w:pPr>
          </w:p>
        </w:tc>
        <w:tc>
          <w:tcPr>
            <w:tcW w:w="1100" w:type="dxa"/>
            <w:vAlign w:val="center"/>
          </w:tcPr>
          <w:p>
            <w:pPr>
              <w:ind w:left="0" w:leftChars="0" w:firstLine="0" w:firstLineChars="0"/>
              <w:jc w:val="center"/>
              <w:rPr>
                <w:rFonts w:hint="default" w:eastAsia="宋体"/>
                <w:color w:val="auto"/>
                <w:vertAlign w:val="baseline"/>
                <w:lang w:val="en-US" w:eastAsia="zh-CN"/>
              </w:rPr>
            </w:pPr>
          </w:p>
        </w:tc>
        <w:tc>
          <w:tcPr>
            <w:tcW w:w="1673" w:type="dxa"/>
            <w:vAlign w:val="center"/>
          </w:tcPr>
          <w:p>
            <w:pPr>
              <w:spacing w:line="240" w:lineRule="auto"/>
              <w:ind w:firstLine="0" w:firstLineChars="0"/>
              <w:jc w:val="center"/>
              <w:rPr>
                <w:rFonts w:hint="eastAsia" w:ascii="宋体" w:hAnsi="宋体" w:cs="Arial"/>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4</w:t>
            </w:r>
          </w:p>
        </w:tc>
        <w:tc>
          <w:tcPr>
            <w:tcW w:w="1857" w:type="dxa"/>
            <w:vAlign w:val="center"/>
          </w:tcPr>
          <w:p>
            <w:pPr>
              <w:ind w:left="0" w:leftChars="0" w:firstLine="0" w:firstLineChars="0"/>
              <w:jc w:val="both"/>
              <w:rPr>
                <w:rFonts w:hint="default" w:eastAsia="宋体"/>
                <w:color w:val="auto"/>
                <w:vertAlign w:val="baseline"/>
                <w:lang w:val="en-US" w:eastAsia="zh-CN"/>
              </w:rPr>
            </w:pPr>
          </w:p>
        </w:tc>
        <w:tc>
          <w:tcPr>
            <w:tcW w:w="2584" w:type="dxa"/>
            <w:vAlign w:val="center"/>
          </w:tcPr>
          <w:p>
            <w:pPr>
              <w:spacing w:line="240" w:lineRule="auto"/>
              <w:ind w:firstLine="0" w:firstLineChars="0"/>
              <w:jc w:val="both"/>
              <w:rPr>
                <w:rFonts w:hint="eastAsia" w:ascii="宋体" w:hAnsi="宋体" w:cs="Arial"/>
                <w:color w:val="auto"/>
                <w:sz w:val="21"/>
                <w:szCs w:val="21"/>
              </w:rPr>
            </w:pPr>
          </w:p>
        </w:tc>
        <w:tc>
          <w:tcPr>
            <w:tcW w:w="1098" w:type="dxa"/>
            <w:vAlign w:val="center"/>
          </w:tcPr>
          <w:p>
            <w:pPr>
              <w:ind w:left="0" w:leftChars="0" w:firstLine="0" w:firstLineChars="0"/>
              <w:jc w:val="center"/>
              <w:rPr>
                <w:rFonts w:hint="eastAsia" w:eastAsia="宋体"/>
                <w:color w:val="auto"/>
                <w:vertAlign w:val="baseline"/>
                <w:lang w:val="en-US" w:eastAsia="zh-CN"/>
              </w:rPr>
            </w:pPr>
          </w:p>
        </w:tc>
        <w:tc>
          <w:tcPr>
            <w:tcW w:w="1100" w:type="dxa"/>
            <w:vAlign w:val="center"/>
          </w:tcPr>
          <w:p>
            <w:pPr>
              <w:spacing w:line="240" w:lineRule="auto"/>
              <w:ind w:firstLine="0" w:firstLineChars="0"/>
              <w:jc w:val="center"/>
              <w:rPr>
                <w:rFonts w:hint="eastAsia" w:ascii="宋体" w:hAnsi="宋体" w:cs="Arial"/>
                <w:color w:val="auto"/>
                <w:sz w:val="21"/>
                <w:szCs w:val="21"/>
                <w:lang w:val="en-US" w:eastAsia="zh-CN"/>
              </w:rPr>
            </w:pPr>
          </w:p>
        </w:tc>
        <w:tc>
          <w:tcPr>
            <w:tcW w:w="1673" w:type="dxa"/>
            <w:vAlign w:val="center"/>
          </w:tcPr>
          <w:p>
            <w:pPr>
              <w:spacing w:line="240" w:lineRule="auto"/>
              <w:ind w:firstLine="0" w:firstLineChars="0"/>
              <w:jc w:val="both"/>
              <w:rPr>
                <w:rFonts w:hint="eastAsia" w:ascii="宋体" w:hAnsi="宋体" w:cs="Arial"/>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5</w:t>
            </w:r>
          </w:p>
        </w:tc>
        <w:tc>
          <w:tcPr>
            <w:tcW w:w="1857" w:type="dxa"/>
            <w:vAlign w:val="center"/>
          </w:tcPr>
          <w:p>
            <w:pPr>
              <w:ind w:left="0" w:leftChars="0" w:firstLine="0" w:firstLineChars="0"/>
              <w:jc w:val="center"/>
              <w:rPr>
                <w:rFonts w:hint="default" w:eastAsia="宋体"/>
                <w:color w:val="auto"/>
                <w:vertAlign w:val="baseline"/>
                <w:lang w:val="en-US" w:eastAsia="zh-CN"/>
              </w:rPr>
            </w:pPr>
          </w:p>
        </w:tc>
        <w:tc>
          <w:tcPr>
            <w:tcW w:w="2584" w:type="dxa"/>
            <w:vAlign w:val="center"/>
          </w:tcPr>
          <w:p>
            <w:pPr>
              <w:spacing w:line="240" w:lineRule="auto"/>
              <w:ind w:firstLine="0" w:firstLineChars="0"/>
              <w:jc w:val="both"/>
              <w:rPr>
                <w:rFonts w:hint="eastAsia" w:ascii="宋体" w:hAnsi="宋体" w:cs="Arial"/>
                <w:color w:val="auto"/>
                <w:sz w:val="21"/>
                <w:szCs w:val="21"/>
              </w:rPr>
            </w:pPr>
          </w:p>
        </w:tc>
        <w:tc>
          <w:tcPr>
            <w:tcW w:w="1098" w:type="dxa"/>
            <w:vAlign w:val="center"/>
          </w:tcPr>
          <w:p>
            <w:pPr>
              <w:ind w:left="0" w:leftChars="0" w:firstLine="0" w:firstLineChars="0"/>
              <w:jc w:val="center"/>
              <w:rPr>
                <w:rFonts w:hint="eastAsia" w:eastAsia="宋体"/>
                <w:color w:val="auto"/>
                <w:vertAlign w:val="baseline"/>
                <w:lang w:val="en-US" w:eastAsia="zh-CN"/>
              </w:rPr>
            </w:pPr>
          </w:p>
        </w:tc>
        <w:tc>
          <w:tcPr>
            <w:tcW w:w="1100" w:type="dxa"/>
            <w:vAlign w:val="center"/>
          </w:tcPr>
          <w:p>
            <w:pPr>
              <w:spacing w:line="240" w:lineRule="auto"/>
              <w:ind w:firstLine="0" w:firstLineChars="0"/>
              <w:jc w:val="center"/>
              <w:rPr>
                <w:rFonts w:hint="default" w:ascii="宋体" w:hAnsi="宋体" w:cs="Arial"/>
                <w:color w:val="auto"/>
                <w:sz w:val="21"/>
                <w:szCs w:val="21"/>
                <w:lang w:val="en-US" w:eastAsia="zh-CN"/>
              </w:rPr>
            </w:pPr>
          </w:p>
        </w:tc>
        <w:tc>
          <w:tcPr>
            <w:tcW w:w="1673" w:type="dxa"/>
            <w:vAlign w:val="center"/>
          </w:tcPr>
          <w:p>
            <w:pPr>
              <w:spacing w:line="240" w:lineRule="auto"/>
              <w:ind w:firstLine="0" w:firstLineChars="0"/>
              <w:jc w:val="both"/>
              <w:rPr>
                <w:rFonts w:hint="eastAsia" w:ascii="宋体" w:hAnsi="宋体" w:cs="Arial"/>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ind w:left="0" w:leftChars="0" w:firstLine="0" w:firstLineChars="0"/>
              <w:jc w:val="center"/>
              <w:rPr>
                <w:rFonts w:hint="eastAsia" w:eastAsia="宋体"/>
                <w:color w:val="auto"/>
                <w:vertAlign w:val="baseline"/>
                <w:lang w:val="en-US" w:eastAsia="zh-CN"/>
              </w:rPr>
            </w:pPr>
            <w:r>
              <w:rPr>
                <w:rFonts w:hint="eastAsia"/>
                <w:color w:val="auto"/>
                <w:vertAlign w:val="baseline"/>
                <w:lang w:val="en-US" w:eastAsia="zh-CN"/>
              </w:rPr>
              <w:t>6</w:t>
            </w:r>
          </w:p>
        </w:tc>
        <w:tc>
          <w:tcPr>
            <w:tcW w:w="1857" w:type="dxa"/>
            <w:vAlign w:val="center"/>
          </w:tcPr>
          <w:p>
            <w:pPr>
              <w:ind w:left="0" w:leftChars="0" w:firstLine="0" w:firstLineChars="0"/>
              <w:jc w:val="center"/>
              <w:rPr>
                <w:rFonts w:hint="default" w:eastAsia="宋体"/>
                <w:color w:val="auto"/>
                <w:vertAlign w:val="baseline"/>
                <w:lang w:val="en-US" w:eastAsia="zh-CN"/>
              </w:rPr>
            </w:pPr>
          </w:p>
        </w:tc>
        <w:tc>
          <w:tcPr>
            <w:tcW w:w="2584" w:type="dxa"/>
            <w:vAlign w:val="center"/>
          </w:tcPr>
          <w:p>
            <w:pPr>
              <w:spacing w:line="240" w:lineRule="auto"/>
              <w:ind w:firstLine="0" w:firstLineChars="0"/>
              <w:jc w:val="both"/>
              <w:rPr>
                <w:rFonts w:hint="eastAsia" w:ascii="宋体" w:hAnsi="宋体" w:cs="Arial"/>
                <w:color w:val="auto"/>
                <w:sz w:val="21"/>
                <w:szCs w:val="21"/>
              </w:rPr>
            </w:pPr>
          </w:p>
        </w:tc>
        <w:tc>
          <w:tcPr>
            <w:tcW w:w="1098" w:type="dxa"/>
            <w:vAlign w:val="center"/>
          </w:tcPr>
          <w:p>
            <w:pPr>
              <w:ind w:left="0" w:leftChars="0" w:firstLine="0" w:firstLineChars="0"/>
              <w:jc w:val="center"/>
              <w:rPr>
                <w:rFonts w:hint="eastAsia" w:eastAsia="宋体"/>
                <w:color w:val="auto"/>
                <w:vertAlign w:val="baseline"/>
                <w:lang w:val="en-US" w:eastAsia="zh-CN"/>
              </w:rPr>
            </w:pPr>
          </w:p>
        </w:tc>
        <w:tc>
          <w:tcPr>
            <w:tcW w:w="1100" w:type="dxa"/>
            <w:vAlign w:val="center"/>
          </w:tcPr>
          <w:p>
            <w:pPr>
              <w:ind w:left="0" w:leftChars="0" w:firstLine="0" w:firstLineChars="0"/>
              <w:jc w:val="center"/>
              <w:rPr>
                <w:rFonts w:hint="eastAsia" w:eastAsia="宋体"/>
                <w:color w:val="auto"/>
                <w:vertAlign w:val="baseline"/>
                <w:lang w:val="en-US" w:eastAsia="zh-CN"/>
              </w:rPr>
            </w:pPr>
          </w:p>
        </w:tc>
        <w:tc>
          <w:tcPr>
            <w:tcW w:w="1673" w:type="dxa"/>
            <w:vAlign w:val="center"/>
          </w:tcPr>
          <w:p>
            <w:pPr>
              <w:spacing w:line="240" w:lineRule="auto"/>
              <w:ind w:firstLine="0" w:firstLineChars="0"/>
              <w:jc w:val="both"/>
              <w:rPr>
                <w:rFonts w:hint="eastAsia" w:ascii="宋体" w:hAnsi="宋体" w:cs="Arial"/>
                <w:color w:val="auto"/>
                <w:sz w:val="21"/>
                <w:szCs w:val="21"/>
                <w:lang w:val="en-US" w:eastAsia="zh-CN"/>
              </w:rPr>
            </w:pPr>
          </w:p>
        </w:tc>
      </w:tr>
    </w:tbl>
    <w:p>
      <w:pPr>
        <w:rPr>
          <w:rFonts w:hint="eastAsia"/>
          <w:color w:val="auto"/>
        </w:rPr>
      </w:pPr>
    </w:p>
    <w:p>
      <w:pPr>
        <w:rPr>
          <w:rFonts w:hint="eastAsia"/>
          <w:color w:val="auto"/>
        </w:rPr>
      </w:pPr>
      <w:r>
        <w:rPr>
          <w:rFonts w:hint="eastAsia"/>
          <w:color w:val="auto"/>
        </w:rPr>
        <w:br w:type="page"/>
      </w:r>
    </w:p>
    <w:p>
      <w:pPr>
        <w:pStyle w:val="3"/>
        <w:spacing w:before="312" w:after="312"/>
        <w:rPr>
          <w:color w:val="auto"/>
        </w:rPr>
      </w:pPr>
      <w:bookmarkStart w:id="213" w:name="_Toc285"/>
      <w:r>
        <w:rPr>
          <w:color w:val="auto"/>
        </w:rPr>
        <w:t>第六章</w:t>
      </w:r>
      <w:r>
        <w:rPr>
          <w:rFonts w:hint="eastAsia"/>
          <w:color w:val="auto"/>
          <w:lang w:val="en-US" w:eastAsia="zh-CN"/>
        </w:rPr>
        <w:t xml:space="preserve"> </w:t>
      </w:r>
      <w:r>
        <w:rPr>
          <w:color w:val="auto"/>
        </w:rPr>
        <w:t>合同</w:t>
      </w:r>
      <w:r>
        <w:rPr>
          <w:rFonts w:hint="eastAsia"/>
          <w:color w:val="auto"/>
          <w:lang w:val="en-US" w:eastAsia="zh-CN"/>
        </w:rPr>
        <w:t>主要</w:t>
      </w:r>
      <w:r>
        <w:rPr>
          <w:color w:val="auto"/>
        </w:rPr>
        <w:t>条款</w:t>
      </w:r>
      <w:bookmarkEnd w:id="213"/>
    </w:p>
    <w:p>
      <w:pPr>
        <w:ind w:firstLine="480"/>
        <w:rPr>
          <w:rFonts w:hint="eastAsia"/>
          <w:color w:val="auto"/>
          <w:lang w:val="en-US" w:eastAsia="zh-CN"/>
        </w:rPr>
      </w:pPr>
      <w:r>
        <w:rPr>
          <w:rFonts w:hint="eastAsia"/>
          <w:color w:val="auto"/>
          <w:lang w:val="en-US" w:eastAsia="zh-CN"/>
        </w:rPr>
        <w:t>付款方式：</w:t>
      </w:r>
    </w:p>
    <w:p>
      <w:pPr>
        <w:ind w:firstLine="480"/>
        <w:rPr>
          <w:rFonts w:hint="eastAsia"/>
          <w:color w:val="auto"/>
          <w:lang w:val="en-US" w:eastAsia="zh-CN"/>
        </w:rPr>
      </w:pPr>
      <w:r>
        <w:rPr>
          <w:rFonts w:hint="eastAsia"/>
          <w:color w:val="auto"/>
          <w:lang w:val="en-US" w:eastAsia="zh-CN"/>
        </w:rPr>
        <w:t>供货完成后，经收货人书面确认后，甲方(需方）一次性支付乙方（供方）全部货款（质保金除外）。付款前，乙方（供方）需提供全额增值税专票。</w:t>
      </w:r>
    </w:p>
    <w:p>
      <w:pPr>
        <w:ind w:firstLine="480"/>
        <w:rPr>
          <w:rFonts w:hint="default"/>
          <w:color w:val="auto"/>
          <w:lang w:val="en-US" w:eastAsia="zh-CN"/>
        </w:rPr>
      </w:pPr>
      <w:r>
        <w:rPr>
          <w:rFonts w:hint="eastAsia"/>
          <w:color w:val="auto"/>
          <w:lang w:val="en-US" w:eastAsia="zh-CN"/>
        </w:rPr>
        <w:t>供货时间：按投标文件日期（比选文件规定日期内）。</w:t>
      </w: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sectPr>
          <w:footerReference r:id="rId10" w:type="first"/>
          <w:footerReference r:id="rId9" w:type="default"/>
          <w:pgSz w:w="11906" w:h="16838"/>
          <w:pgMar w:top="1247" w:right="1417" w:bottom="1247" w:left="1417" w:header="851" w:footer="992" w:gutter="0"/>
          <w:pgNumType w:start="1"/>
          <w:cols w:space="0" w:num="1"/>
          <w:rtlGutter w:val="0"/>
          <w:docGrid w:type="linesAndChars" w:linePitch="312" w:charSpace="1062"/>
        </w:sectPr>
      </w:pPr>
    </w:p>
    <w:p/>
    <w:sectPr>
      <w:footerReference r:id="rId11" w:type="default"/>
      <w:type w:val="continuous"/>
      <w:pgSz w:w="11906" w:h="16838"/>
      <w:pgMar w:top="1247" w:right="1417" w:bottom="1247" w:left="1417" w:header="851" w:footer="992" w:gutter="0"/>
      <w:pgNumType w:start="1"/>
      <w:cols w:space="0" w:num="1"/>
      <w:rtlGutter w:val="0"/>
      <w:docGrid w:type="linesAndChars" w:linePitch="312" w:charSpace="10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4805" cy="209550"/>
              <wp:effectExtent l="0" t="0" r="0" b="0"/>
              <wp:wrapNone/>
              <wp:docPr id="37" name="文本框 4"/>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a:noFill/>
                      </a:ln>
                    </wps:spPr>
                    <wps:txbx>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6.5pt;width:27.15pt;mso-position-horizontal:center;mso-position-horizontal-relative:margin;mso-wrap-style:none;z-index:251659264;mso-width-relative:page;mso-height-relative:page;" filled="f" stroked="f" coordsize="21600,21600" o:gfxdata="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6D2y&#10;0QAAAAMBAAAPAAAAAAAAAAEAIAAAACIAAABkcnMvZG93bnJldi54bWxQSwECFAAUAAAACACHTuJA&#10;1agWWbYBAABKAwAADgAAAAAAAAABACAAAAAgAQAAZHJzL2Uyb0RvYy54bWxQSwUGAAAAAAYABgBZ&#10;AQAASAUAAAAA&#10;">
              <v:fill on="f" focussize="0,0"/>
              <v:stroke on="f"/>
              <v:imagedata o:title=""/>
              <o:lock v:ext="edit" aspectratio="f"/>
              <v:textbox inset="0mm,0mm,0mm,0mm" style="mso-fit-shape-to-text:t;">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41</w:t>
                          </w:r>
                          <w:r>
                            <w:rPr>
                              <w:sz w:val="18"/>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st7NSwAQAA&#10;TAMAAA4AAAAAAAAAAQAgAAAAHgEAAGRycy9lMm9Eb2MueG1sUEsFBgAAAAAGAAYAWQEAAEAFAAAA&#10;AA==&#10;">
              <v:fill on="f" focussize="0,0"/>
              <v:stroke on="f"/>
              <v:imagedata o:title=""/>
              <o:lock v:ext="edit" aspectratio="f"/>
              <v:textbox inset="0mm,0mm,0mm,0mm" style="mso-fit-shape-to-text:t;">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41</w:t>
                    </w:r>
                    <w:r>
                      <w:rPr>
                        <w:sz w:val="18"/>
                      </w:rPr>
                      <w:fldChar w:fldCharType="end"/>
                    </w:r>
                  </w:p>
                </w:txbxContent>
              </v:textbox>
            </v:shape>
          </w:pict>
        </mc:Fallback>
      </mc:AlternateContent>
    </w:r>
  </w:p>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4805" cy="20955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a:noFill/>
                      </a:ln>
                    </wps:spPr>
                    <wps:txbx>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26</w:t>
                          </w:r>
                          <w:r>
                            <w:rPr>
                              <w:sz w:val="1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6.5pt;width:27.15pt;mso-position-horizontal:center;mso-position-horizontal-relative:margin;mso-wrap-style:none;z-index:251659264;mso-width-relative:page;mso-height-relative:page;" filled="f" stroked="f" coordsize="21600,21600" o:gfxdata="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6D2y&#10;0QAAAAMBAAAPAAAAAAAAAAEAIAAAACIAAABkcnMvZG93bnJldi54bWxQSwECFAAUAAAACACHTuJA&#10;+7i2SrYBAABKAwAADgAAAAAAAAABACAAAAAgAQAAZHJzL2Uyb0RvYy54bWxQSwUGAAAAAAYABgBZ&#10;AQAASAUAAAAA&#10;">
              <v:fill on="f" focussize="0,0"/>
              <v:stroke on="f"/>
              <v:imagedata o:title=""/>
              <o:lock v:ext="edit" aspectratio="f"/>
              <v:textbox inset="0mm,0mm,0mm,0mm" style="mso-fit-shape-to-text:t;">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26</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B13"/>
    <w:multiLevelType w:val="multilevel"/>
    <w:tmpl w:val="05831B13"/>
    <w:lvl w:ilvl="0" w:tentative="0">
      <w:start w:val="1"/>
      <w:numFmt w:val="decimal"/>
      <w:lvlText w:val="5.%1"/>
      <w:lvlJc w:val="left"/>
      <w:pPr>
        <w:ind w:left="661" w:hanging="420"/>
      </w:pPr>
      <w:rPr>
        <w:rFonts w:hint="eastAsia" w:cs="Times New Roman"/>
      </w:rPr>
    </w:lvl>
    <w:lvl w:ilvl="1" w:tentative="0">
      <w:start w:val="1"/>
      <w:numFmt w:val="lowerLetter"/>
      <w:lvlText w:val="%2)"/>
      <w:lvlJc w:val="left"/>
      <w:pPr>
        <w:ind w:left="1081" w:hanging="420"/>
      </w:pPr>
      <w:rPr>
        <w:rFonts w:cs="Times New Roman"/>
      </w:rPr>
    </w:lvl>
    <w:lvl w:ilvl="2" w:tentative="0">
      <w:start w:val="1"/>
      <w:numFmt w:val="lowerRoman"/>
      <w:lvlText w:val="%3."/>
      <w:lvlJc w:val="right"/>
      <w:pPr>
        <w:ind w:left="1501" w:hanging="420"/>
      </w:pPr>
      <w:rPr>
        <w:rFonts w:cs="Times New Roman"/>
      </w:rPr>
    </w:lvl>
    <w:lvl w:ilvl="3" w:tentative="0">
      <w:start w:val="1"/>
      <w:numFmt w:val="decimal"/>
      <w:lvlText w:val="%4."/>
      <w:lvlJc w:val="left"/>
      <w:pPr>
        <w:ind w:left="1921" w:hanging="420"/>
      </w:pPr>
      <w:rPr>
        <w:rFonts w:cs="Times New Roman"/>
      </w:rPr>
    </w:lvl>
    <w:lvl w:ilvl="4" w:tentative="0">
      <w:start w:val="1"/>
      <w:numFmt w:val="lowerLetter"/>
      <w:lvlText w:val="%5)"/>
      <w:lvlJc w:val="left"/>
      <w:pPr>
        <w:ind w:left="2341" w:hanging="420"/>
      </w:pPr>
      <w:rPr>
        <w:rFonts w:cs="Times New Roman"/>
      </w:rPr>
    </w:lvl>
    <w:lvl w:ilvl="5" w:tentative="0">
      <w:start w:val="1"/>
      <w:numFmt w:val="lowerRoman"/>
      <w:lvlText w:val="%6."/>
      <w:lvlJc w:val="right"/>
      <w:pPr>
        <w:ind w:left="2761" w:hanging="420"/>
      </w:pPr>
      <w:rPr>
        <w:rFonts w:cs="Times New Roman"/>
      </w:rPr>
    </w:lvl>
    <w:lvl w:ilvl="6" w:tentative="0">
      <w:start w:val="1"/>
      <w:numFmt w:val="decimal"/>
      <w:lvlText w:val="%7."/>
      <w:lvlJc w:val="left"/>
      <w:pPr>
        <w:ind w:left="3181" w:hanging="420"/>
      </w:pPr>
      <w:rPr>
        <w:rFonts w:cs="Times New Roman"/>
      </w:rPr>
    </w:lvl>
    <w:lvl w:ilvl="7" w:tentative="0">
      <w:start w:val="1"/>
      <w:numFmt w:val="lowerLetter"/>
      <w:lvlText w:val="%8)"/>
      <w:lvlJc w:val="left"/>
      <w:pPr>
        <w:ind w:left="3601" w:hanging="420"/>
      </w:pPr>
      <w:rPr>
        <w:rFonts w:cs="Times New Roman"/>
      </w:rPr>
    </w:lvl>
    <w:lvl w:ilvl="8" w:tentative="0">
      <w:start w:val="1"/>
      <w:numFmt w:val="lowerRoman"/>
      <w:lvlText w:val="%9."/>
      <w:lvlJc w:val="right"/>
      <w:pPr>
        <w:ind w:left="4021" w:hanging="420"/>
      </w:pPr>
      <w:rPr>
        <w:rFonts w:cs="Times New Roman"/>
      </w:rPr>
    </w:lvl>
  </w:abstractNum>
  <w:abstractNum w:abstractNumId="1">
    <w:nsid w:val="14595D2E"/>
    <w:multiLevelType w:val="multilevel"/>
    <w:tmpl w:val="14595D2E"/>
    <w:lvl w:ilvl="0" w:tentative="0">
      <w:start w:val="1"/>
      <w:numFmt w:val="decimal"/>
      <w:lvlText w:val="2.1.%1."/>
      <w:lvlJc w:val="left"/>
      <w:pPr>
        <w:tabs>
          <w:tab w:val="left" w:pos="454"/>
        </w:tabs>
        <w:ind w:firstLine="454"/>
      </w:pPr>
      <w:rPr>
        <w:rFonts w:hint="eastAsia" w:cs="Times New Roman"/>
      </w:rPr>
    </w:lvl>
    <w:lvl w:ilvl="1" w:tentative="0">
      <w:start w:val="1"/>
      <w:numFmt w:val="decimal"/>
      <w:lvlText w:val="2.1.%2."/>
      <w:lvlJc w:val="left"/>
      <w:pPr>
        <w:tabs>
          <w:tab w:val="left" w:pos="420"/>
        </w:tabs>
        <w:ind w:firstLine="454"/>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246D1A53"/>
    <w:multiLevelType w:val="multilevel"/>
    <w:tmpl w:val="246D1A53"/>
    <w:lvl w:ilvl="0" w:tentative="0">
      <w:start w:val="1"/>
      <w:numFmt w:val="decimal"/>
      <w:lvlText w:val="2.2.%1."/>
      <w:lvlJc w:val="left"/>
      <w:pPr>
        <w:tabs>
          <w:tab w:val="left" w:pos="874"/>
        </w:tabs>
        <w:ind w:left="420" w:firstLine="454"/>
      </w:pPr>
      <w:rPr>
        <w:rFonts w:hint="eastAsia" w:cs="Times New Roman"/>
      </w:rPr>
    </w:lvl>
    <w:lvl w:ilvl="1" w:tentative="0">
      <w:start w:val="1"/>
      <w:numFmt w:val="decimal"/>
      <w:lvlText w:val="3.%2."/>
      <w:lvlJc w:val="left"/>
      <w:pPr>
        <w:tabs>
          <w:tab w:val="left" w:pos="284"/>
        </w:tabs>
        <w:ind w:firstLine="284"/>
      </w:pPr>
      <w:rPr>
        <w:rFonts w:hint="eastAsia" w:cs="Times New Roman"/>
      </w:rPr>
    </w:lvl>
    <w:lvl w:ilvl="2" w:tentative="0">
      <w:start w:val="1"/>
      <w:numFmt w:val="decimal"/>
      <w:lvlText w:val="3.1.%3."/>
      <w:lvlJc w:val="left"/>
      <w:pPr>
        <w:tabs>
          <w:tab w:val="left" w:pos="851"/>
        </w:tabs>
        <w:ind w:firstLine="454"/>
      </w:pPr>
      <w:rPr>
        <w:rFonts w:hint="eastAsia" w:cs="Times New Roman"/>
      </w:rPr>
    </w:lvl>
    <w:lvl w:ilvl="3" w:tentative="0">
      <w:start w:val="1"/>
      <w:numFmt w:val="decimal"/>
      <w:lvlText w:val="3.2.%4."/>
      <w:lvlJc w:val="left"/>
      <w:pPr>
        <w:tabs>
          <w:tab w:val="left" w:pos="454"/>
        </w:tabs>
        <w:ind w:firstLine="454"/>
      </w:pPr>
      <w:rPr>
        <w:rFonts w:hint="eastAsia" w:cs="Times New Roman"/>
      </w:rPr>
    </w:lvl>
    <w:lvl w:ilvl="4" w:tentative="0">
      <w:start w:val="1"/>
      <w:numFmt w:val="decimal"/>
      <w:lvlText w:val="%5、"/>
      <w:lvlJc w:val="left"/>
      <w:pPr>
        <w:ind w:left="360" w:hanging="360"/>
      </w:pPr>
      <w:rPr>
        <w:rFonts w:hint="default"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CAB58FB"/>
    <w:multiLevelType w:val="multilevel"/>
    <w:tmpl w:val="2CAB58FB"/>
    <w:lvl w:ilvl="0" w:tentative="0">
      <w:start w:val="1"/>
      <w:numFmt w:val="decimal"/>
      <w:lvlText w:val="%1."/>
      <w:lvlJc w:val="left"/>
      <w:pPr>
        <w:tabs>
          <w:tab w:val="left" w:pos="0"/>
        </w:tabs>
      </w:pPr>
      <w:rPr>
        <w:rFonts w:hint="eastAsia" w:cs="Times New Roman"/>
      </w:rPr>
    </w:lvl>
    <w:lvl w:ilvl="1" w:tentative="0">
      <w:start w:val="1"/>
      <w:numFmt w:val="decimal"/>
      <w:lvlText w:val="2.%2."/>
      <w:lvlJc w:val="left"/>
      <w:pPr>
        <w:tabs>
          <w:tab w:val="left" w:pos="227"/>
        </w:tabs>
        <w:ind w:firstLine="227"/>
      </w:pPr>
      <w:rPr>
        <w:rFonts w:hint="eastAsia" w:cs="Times New Roman"/>
      </w:rPr>
    </w:lvl>
    <w:lvl w:ilvl="2" w:tentative="0">
      <w:start w:val="1"/>
      <w:numFmt w:val="decimal"/>
      <w:lvlText w:val="2.1.%3."/>
      <w:lvlJc w:val="left"/>
      <w:pPr>
        <w:tabs>
          <w:tab w:val="left" w:pos="806"/>
        </w:tabs>
        <w:ind w:left="386" w:firstLine="454"/>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D723915"/>
    <w:multiLevelType w:val="multilevel"/>
    <w:tmpl w:val="2D723915"/>
    <w:lvl w:ilvl="0" w:tentative="0">
      <w:start w:val="1"/>
      <w:numFmt w:val="decimal"/>
      <w:lvlText w:val="6.%1"/>
      <w:lvlJc w:val="left"/>
      <w:pPr>
        <w:ind w:left="840" w:hanging="420"/>
      </w:pPr>
      <w:rPr>
        <w:rFonts w:hint="eastAsia"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5">
    <w:nsid w:val="50B31DBD"/>
    <w:multiLevelType w:val="multilevel"/>
    <w:tmpl w:val="50B31DBD"/>
    <w:lvl w:ilvl="0" w:tentative="0">
      <w:start w:val="1"/>
      <w:numFmt w:val="decimal"/>
      <w:lvlText w:val="2.2.%1."/>
      <w:lvlJc w:val="left"/>
      <w:pPr>
        <w:tabs>
          <w:tab w:val="left" w:pos="454"/>
        </w:tabs>
        <w:ind w:firstLine="454"/>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66297B81"/>
    <w:multiLevelType w:val="multilevel"/>
    <w:tmpl w:val="66297B81"/>
    <w:lvl w:ilvl="0" w:tentative="0">
      <w:start w:val="1"/>
      <w:numFmt w:val="decimal"/>
      <w:lvlText w:val="3.4.%1."/>
      <w:lvlJc w:val="left"/>
      <w:pPr>
        <w:tabs>
          <w:tab w:val="left" w:pos="981"/>
        </w:tabs>
        <w:ind w:left="527" w:firstLine="454"/>
      </w:pPr>
      <w:rPr>
        <w:rFonts w:hint="eastAsia" w:cs="Times New Roman"/>
      </w:rPr>
    </w:lvl>
    <w:lvl w:ilvl="1" w:tentative="0">
      <w:start w:val="1"/>
      <w:numFmt w:val="decimal"/>
      <w:lvlText w:val="3.3.%2"/>
      <w:lvlJc w:val="left"/>
      <w:pPr>
        <w:tabs>
          <w:tab w:val="left" w:pos="420"/>
        </w:tabs>
        <w:ind w:firstLine="454"/>
      </w:pPr>
      <w:rPr>
        <w:rFonts w:hint="eastAsia" w:cs="Times New Roman"/>
        <w:color w:val="000000"/>
        <w:sz w:val="24"/>
        <w:szCs w:val="24"/>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74BC2DB0"/>
    <w:multiLevelType w:val="multilevel"/>
    <w:tmpl w:val="74BC2DB0"/>
    <w:lvl w:ilvl="0" w:tentative="0">
      <w:start w:val="1"/>
      <w:numFmt w:val="decimal"/>
      <w:lvlText w:val="4.%1."/>
      <w:lvlJc w:val="left"/>
      <w:pPr>
        <w:tabs>
          <w:tab w:val="left" w:pos="227"/>
        </w:tabs>
        <w:ind w:firstLine="227"/>
      </w:pPr>
      <w:rPr>
        <w:rFonts w:hint="eastAsia" w:cs="Times New Roman"/>
      </w:rPr>
    </w:lvl>
    <w:lvl w:ilvl="1" w:tentative="0">
      <w:start w:val="1"/>
      <w:numFmt w:val="decimal"/>
      <w:lvlText w:val="4.1.%2."/>
      <w:lvlJc w:val="left"/>
      <w:pPr>
        <w:tabs>
          <w:tab w:val="left" w:pos="420"/>
        </w:tabs>
        <w:ind w:left="193" w:firstLine="227"/>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79103B74"/>
    <w:multiLevelType w:val="multilevel"/>
    <w:tmpl w:val="79103B74"/>
    <w:lvl w:ilvl="0" w:tentative="0">
      <w:start w:val="1"/>
      <w:numFmt w:val="decimal"/>
      <w:lvlText w:val="1.%1."/>
      <w:lvlJc w:val="left"/>
      <w:pPr>
        <w:tabs>
          <w:tab w:val="left" w:pos="0"/>
        </w:tabs>
        <w:ind w:firstLine="227"/>
      </w:pPr>
      <w:rPr>
        <w:rFonts w:hint="eastAsia" w:cs="Times New Roman"/>
        <w:sz w:val="24"/>
        <w:szCs w:val="24"/>
      </w:rPr>
    </w:lvl>
    <w:lvl w:ilvl="1" w:tentative="0">
      <w:start w:val="1"/>
      <w:numFmt w:val="decimal"/>
      <w:lvlText w:val="1.3.%2."/>
      <w:lvlJc w:val="left"/>
      <w:pPr>
        <w:tabs>
          <w:tab w:val="left" w:pos="454"/>
        </w:tabs>
        <w:ind w:firstLine="454"/>
      </w:pPr>
      <w:rPr>
        <w:rFonts w:hint="eastAsia" w:cs="Times New Roman"/>
        <w:sz w:val="24"/>
        <w:szCs w:val="24"/>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7BAB2CF3"/>
    <w:multiLevelType w:val="multilevel"/>
    <w:tmpl w:val="7BAB2CF3"/>
    <w:lvl w:ilvl="0" w:tentative="0">
      <w:start w:val="1"/>
      <w:numFmt w:val="decimal"/>
      <w:lvlText w:val="%1."/>
      <w:lvlJc w:val="left"/>
      <w:pPr>
        <w:tabs>
          <w:tab w:val="left" w:pos="0"/>
        </w:tabs>
      </w:pPr>
      <w:rPr>
        <w:rFonts w:hint="default" w:cs="Times New Roman"/>
      </w:rPr>
    </w:lvl>
    <w:lvl w:ilvl="1" w:tentative="0">
      <w:start w:val="1"/>
      <w:numFmt w:val="decimal"/>
      <w:lvlText w:val="1.1.%2"/>
      <w:lvlJc w:val="left"/>
      <w:pPr>
        <w:tabs>
          <w:tab w:val="left" w:pos="420"/>
        </w:tabs>
        <w:ind w:firstLine="454"/>
      </w:pPr>
      <w:rPr>
        <w:rFonts w:hint="eastAsia" w:cs="Times New Roman"/>
        <w:b w:val="0"/>
        <w:sz w:val="24"/>
        <w:szCs w:val="24"/>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7DB018E9"/>
    <w:multiLevelType w:val="multilevel"/>
    <w:tmpl w:val="7DB018E9"/>
    <w:lvl w:ilvl="0" w:tentative="0">
      <w:start w:val="1"/>
      <w:numFmt w:val="decimal"/>
      <w:lvlText w:val="3.4.%1."/>
      <w:lvlJc w:val="left"/>
      <w:pPr>
        <w:tabs>
          <w:tab w:val="left" w:pos="420"/>
        </w:tabs>
        <w:ind w:firstLine="454"/>
      </w:pPr>
      <w:rPr>
        <w:rFonts w:hint="eastAsia" w:cs="Times New Roman"/>
        <w:color w:val="00000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9"/>
  </w:num>
  <w:num w:numId="2">
    <w:abstractNumId w:val="8"/>
  </w:num>
  <w:num w:numId="3">
    <w:abstractNumId w:val="3"/>
  </w:num>
  <w:num w:numId="4">
    <w:abstractNumId w:val="1"/>
  </w:num>
  <w:num w:numId="5">
    <w:abstractNumId w:val="5"/>
  </w:num>
  <w:num w:numId="6">
    <w:abstractNumId w:val="2"/>
  </w:num>
  <w:num w:numId="7">
    <w:abstractNumId w:val="6"/>
  </w:num>
  <w:num w:numId="8">
    <w:abstractNumId w:val="10"/>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val="1"/>
  <w:bordersDoNotSurroundFooter w:val="1"/>
  <w:doNotTrackMoves/>
  <w:attachedTemplate r:id="rId1"/>
  <w:documentProtection w:enforcement="0"/>
  <w:defaultTabStop w:val="420"/>
  <w:drawingGridHorizontalSpacing w:val="123"/>
  <w:drawingGridVerticalSpacing w:val="156"/>
  <w:displayHorizontalDrawingGridEvery w:val="2"/>
  <w:displayVerticalDrawingGridEvery w:val="2"/>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DD2AAA"/>
    <w:rsid w:val="00002DB6"/>
    <w:rsid w:val="00006595"/>
    <w:rsid w:val="00007A36"/>
    <w:rsid w:val="000103EF"/>
    <w:rsid w:val="000247A1"/>
    <w:rsid w:val="000259DE"/>
    <w:rsid w:val="00025CE4"/>
    <w:rsid w:val="00025DCF"/>
    <w:rsid w:val="00037AB1"/>
    <w:rsid w:val="00041609"/>
    <w:rsid w:val="00042E7A"/>
    <w:rsid w:val="00061A93"/>
    <w:rsid w:val="0006560A"/>
    <w:rsid w:val="00071110"/>
    <w:rsid w:val="0007129F"/>
    <w:rsid w:val="000750EE"/>
    <w:rsid w:val="0007606B"/>
    <w:rsid w:val="0007699B"/>
    <w:rsid w:val="00091D81"/>
    <w:rsid w:val="00094470"/>
    <w:rsid w:val="00097C56"/>
    <w:rsid w:val="000B19CB"/>
    <w:rsid w:val="000B3506"/>
    <w:rsid w:val="000B603A"/>
    <w:rsid w:val="000B71D2"/>
    <w:rsid w:val="000C4678"/>
    <w:rsid w:val="000D5FAD"/>
    <w:rsid w:val="000E0D94"/>
    <w:rsid w:val="000E43DC"/>
    <w:rsid w:val="000F0E1F"/>
    <w:rsid w:val="000F4380"/>
    <w:rsid w:val="000F70EC"/>
    <w:rsid w:val="00102773"/>
    <w:rsid w:val="001233D9"/>
    <w:rsid w:val="0012443A"/>
    <w:rsid w:val="00126496"/>
    <w:rsid w:val="00126AD4"/>
    <w:rsid w:val="001478C2"/>
    <w:rsid w:val="0015465C"/>
    <w:rsid w:val="00155096"/>
    <w:rsid w:val="001568BD"/>
    <w:rsid w:val="00161479"/>
    <w:rsid w:val="0016625D"/>
    <w:rsid w:val="00175B32"/>
    <w:rsid w:val="00181A37"/>
    <w:rsid w:val="00185A4A"/>
    <w:rsid w:val="001877E0"/>
    <w:rsid w:val="00190DD3"/>
    <w:rsid w:val="001944F0"/>
    <w:rsid w:val="001C68AF"/>
    <w:rsid w:val="001D54AD"/>
    <w:rsid w:val="001D5ED4"/>
    <w:rsid w:val="001D6817"/>
    <w:rsid w:val="001E60AC"/>
    <w:rsid w:val="001F1FE6"/>
    <w:rsid w:val="001F253F"/>
    <w:rsid w:val="002067B8"/>
    <w:rsid w:val="0022525E"/>
    <w:rsid w:val="00230154"/>
    <w:rsid w:val="00241382"/>
    <w:rsid w:val="00244B6A"/>
    <w:rsid w:val="00247991"/>
    <w:rsid w:val="00260872"/>
    <w:rsid w:val="00271641"/>
    <w:rsid w:val="002777C7"/>
    <w:rsid w:val="00281E6C"/>
    <w:rsid w:val="002829B8"/>
    <w:rsid w:val="002914D8"/>
    <w:rsid w:val="00292683"/>
    <w:rsid w:val="002A235D"/>
    <w:rsid w:val="002A3572"/>
    <w:rsid w:val="002A5A54"/>
    <w:rsid w:val="002A67B2"/>
    <w:rsid w:val="002B28E5"/>
    <w:rsid w:val="002D091E"/>
    <w:rsid w:val="002D4E32"/>
    <w:rsid w:val="002E7864"/>
    <w:rsid w:val="002F3C13"/>
    <w:rsid w:val="00303796"/>
    <w:rsid w:val="0030390C"/>
    <w:rsid w:val="003046D2"/>
    <w:rsid w:val="00321154"/>
    <w:rsid w:val="00330469"/>
    <w:rsid w:val="0033081E"/>
    <w:rsid w:val="0033136A"/>
    <w:rsid w:val="00340343"/>
    <w:rsid w:val="003448AB"/>
    <w:rsid w:val="00350355"/>
    <w:rsid w:val="00355B9C"/>
    <w:rsid w:val="003572F8"/>
    <w:rsid w:val="003601AE"/>
    <w:rsid w:val="00362904"/>
    <w:rsid w:val="003701EA"/>
    <w:rsid w:val="00374193"/>
    <w:rsid w:val="00375BA5"/>
    <w:rsid w:val="00382EFF"/>
    <w:rsid w:val="00383B80"/>
    <w:rsid w:val="00384D71"/>
    <w:rsid w:val="00391000"/>
    <w:rsid w:val="003A2A93"/>
    <w:rsid w:val="003B4C64"/>
    <w:rsid w:val="003B51CF"/>
    <w:rsid w:val="003B7540"/>
    <w:rsid w:val="003C03B3"/>
    <w:rsid w:val="003C2480"/>
    <w:rsid w:val="003D0B23"/>
    <w:rsid w:val="003E2424"/>
    <w:rsid w:val="003F40E4"/>
    <w:rsid w:val="0040707F"/>
    <w:rsid w:val="00407183"/>
    <w:rsid w:val="0042119F"/>
    <w:rsid w:val="0042260A"/>
    <w:rsid w:val="004366BB"/>
    <w:rsid w:val="00442C49"/>
    <w:rsid w:val="00451700"/>
    <w:rsid w:val="00461874"/>
    <w:rsid w:val="004722D9"/>
    <w:rsid w:val="004826DA"/>
    <w:rsid w:val="0048338E"/>
    <w:rsid w:val="0048754A"/>
    <w:rsid w:val="00493629"/>
    <w:rsid w:val="00495DF7"/>
    <w:rsid w:val="00496A25"/>
    <w:rsid w:val="004B5E63"/>
    <w:rsid w:val="004C10B3"/>
    <w:rsid w:val="004C163B"/>
    <w:rsid w:val="004C2E65"/>
    <w:rsid w:val="004C3529"/>
    <w:rsid w:val="004C648A"/>
    <w:rsid w:val="004D240F"/>
    <w:rsid w:val="004E29A6"/>
    <w:rsid w:val="004E5A86"/>
    <w:rsid w:val="00511036"/>
    <w:rsid w:val="00512312"/>
    <w:rsid w:val="00517A65"/>
    <w:rsid w:val="00524B55"/>
    <w:rsid w:val="0054294D"/>
    <w:rsid w:val="00543A55"/>
    <w:rsid w:val="0055616A"/>
    <w:rsid w:val="00556748"/>
    <w:rsid w:val="00560716"/>
    <w:rsid w:val="00563F35"/>
    <w:rsid w:val="0056521D"/>
    <w:rsid w:val="00566981"/>
    <w:rsid w:val="00567690"/>
    <w:rsid w:val="00573540"/>
    <w:rsid w:val="005759FA"/>
    <w:rsid w:val="00591768"/>
    <w:rsid w:val="00591D93"/>
    <w:rsid w:val="005A0EE1"/>
    <w:rsid w:val="005C0AFA"/>
    <w:rsid w:val="005C58C8"/>
    <w:rsid w:val="005D3236"/>
    <w:rsid w:val="005D49D1"/>
    <w:rsid w:val="005E113F"/>
    <w:rsid w:val="005E1319"/>
    <w:rsid w:val="005F269A"/>
    <w:rsid w:val="005F541B"/>
    <w:rsid w:val="006008FE"/>
    <w:rsid w:val="00607AE2"/>
    <w:rsid w:val="0061642D"/>
    <w:rsid w:val="00617F7D"/>
    <w:rsid w:val="0062108A"/>
    <w:rsid w:val="00632391"/>
    <w:rsid w:val="00646EB1"/>
    <w:rsid w:val="006506CE"/>
    <w:rsid w:val="006529F8"/>
    <w:rsid w:val="00653FFF"/>
    <w:rsid w:val="00660A36"/>
    <w:rsid w:val="00681BA0"/>
    <w:rsid w:val="00693A08"/>
    <w:rsid w:val="006A040C"/>
    <w:rsid w:val="006A4F65"/>
    <w:rsid w:val="006B5D63"/>
    <w:rsid w:val="006C230D"/>
    <w:rsid w:val="006E482D"/>
    <w:rsid w:val="006F4EA9"/>
    <w:rsid w:val="00702650"/>
    <w:rsid w:val="00713FF0"/>
    <w:rsid w:val="00722A7B"/>
    <w:rsid w:val="00736018"/>
    <w:rsid w:val="00740601"/>
    <w:rsid w:val="00741DF3"/>
    <w:rsid w:val="00744722"/>
    <w:rsid w:val="0074491B"/>
    <w:rsid w:val="00746EF6"/>
    <w:rsid w:val="00751599"/>
    <w:rsid w:val="00751B9B"/>
    <w:rsid w:val="00754785"/>
    <w:rsid w:val="00754CEA"/>
    <w:rsid w:val="007551FC"/>
    <w:rsid w:val="00793578"/>
    <w:rsid w:val="00793B01"/>
    <w:rsid w:val="007974CD"/>
    <w:rsid w:val="007A42C7"/>
    <w:rsid w:val="007B50CE"/>
    <w:rsid w:val="007C1823"/>
    <w:rsid w:val="007D3A36"/>
    <w:rsid w:val="007D425B"/>
    <w:rsid w:val="00800EBD"/>
    <w:rsid w:val="0080467F"/>
    <w:rsid w:val="008102F5"/>
    <w:rsid w:val="00824798"/>
    <w:rsid w:val="00827259"/>
    <w:rsid w:val="008338FB"/>
    <w:rsid w:val="00855F94"/>
    <w:rsid w:val="008564EA"/>
    <w:rsid w:val="00856D35"/>
    <w:rsid w:val="00856E32"/>
    <w:rsid w:val="00857FB9"/>
    <w:rsid w:val="00862785"/>
    <w:rsid w:val="008627B6"/>
    <w:rsid w:val="00881D26"/>
    <w:rsid w:val="0089013D"/>
    <w:rsid w:val="008937B6"/>
    <w:rsid w:val="00894AE7"/>
    <w:rsid w:val="008979CE"/>
    <w:rsid w:val="008A5501"/>
    <w:rsid w:val="008B29D8"/>
    <w:rsid w:val="008C58EE"/>
    <w:rsid w:val="008C6039"/>
    <w:rsid w:val="008C7302"/>
    <w:rsid w:val="008E164D"/>
    <w:rsid w:val="008F1B0A"/>
    <w:rsid w:val="00904BCD"/>
    <w:rsid w:val="009202E5"/>
    <w:rsid w:val="00931898"/>
    <w:rsid w:val="00941B32"/>
    <w:rsid w:val="00944D5A"/>
    <w:rsid w:val="0095128E"/>
    <w:rsid w:val="009536AD"/>
    <w:rsid w:val="009573E3"/>
    <w:rsid w:val="00962435"/>
    <w:rsid w:val="00962B22"/>
    <w:rsid w:val="00972687"/>
    <w:rsid w:val="0098712F"/>
    <w:rsid w:val="00993A96"/>
    <w:rsid w:val="0099658F"/>
    <w:rsid w:val="009A6620"/>
    <w:rsid w:val="009B7EA3"/>
    <w:rsid w:val="009C388C"/>
    <w:rsid w:val="009C3F6D"/>
    <w:rsid w:val="009C684F"/>
    <w:rsid w:val="009C70EB"/>
    <w:rsid w:val="009D1457"/>
    <w:rsid w:val="009D6619"/>
    <w:rsid w:val="009D6878"/>
    <w:rsid w:val="009E62B0"/>
    <w:rsid w:val="00A04B67"/>
    <w:rsid w:val="00A11B31"/>
    <w:rsid w:val="00A33CD0"/>
    <w:rsid w:val="00A402A7"/>
    <w:rsid w:val="00A4140D"/>
    <w:rsid w:val="00A43C51"/>
    <w:rsid w:val="00A45303"/>
    <w:rsid w:val="00A550CE"/>
    <w:rsid w:val="00A61BCB"/>
    <w:rsid w:val="00A62F2F"/>
    <w:rsid w:val="00A72785"/>
    <w:rsid w:val="00A75558"/>
    <w:rsid w:val="00A8423C"/>
    <w:rsid w:val="00A84854"/>
    <w:rsid w:val="00A97D02"/>
    <w:rsid w:val="00AA052B"/>
    <w:rsid w:val="00AA726D"/>
    <w:rsid w:val="00AB41D6"/>
    <w:rsid w:val="00AB4813"/>
    <w:rsid w:val="00AC3335"/>
    <w:rsid w:val="00AD1341"/>
    <w:rsid w:val="00AD5ABE"/>
    <w:rsid w:val="00AE6CEE"/>
    <w:rsid w:val="00AF015F"/>
    <w:rsid w:val="00AF2297"/>
    <w:rsid w:val="00AF708D"/>
    <w:rsid w:val="00AF721F"/>
    <w:rsid w:val="00B00755"/>
    <w:rsid w:val="00B110E3"/>
    <w:rsid w:val="00B15017"/>
    <w:rsid w:val="00B229AB"/>
    <w:rsid w:val="00B2796C"/>
    <w:rsid w:val="00B35B59"/>
    <w:rsid w:val="00B562F9"/>
    <w:rsid w:val="00B56D36"/>
    <w:rsid w:val="00B5715E"/>
    <w:rsid w:val="00B6384D"/>
    <w:rsid w:val="00B655B8"/>
    <w:rsid w:val="00B71760"/>
    <w:rsid w:val="00B8525C"/>
    <w:rsid w:val="00B871F3"/>
    <w:rsid w:val="00B93F99"/>
    <w:rsid w:val="00BA03B4"/>
    <w:rsid w:val="00BA417F"/>
    <w:rsid w:val="00BB6ED1"/>
    <w:rsid w:val="00BC1DA7"/>
    <w:rsid w:val="00BC27B1"/>
    <w:rsid w:val="00BC4666"/>
    <w:rsid w:val="00BC70B2"/>
    <w:rsid w:val="00BD16D5"/>
    <w:rsid w:val="00BD2CD9"/>
    <w:rsid w:val="00BD498E"/>
    <w:rsid w:val="00BD7BB1"/>
    <w:rsid w:val="00BE0C7C"/>
    <w:rsid w:val="00BF20FF"/>
    <w:rsid w:val="00BF30EC"/>
    <w:rsid w:val="00BF3E22"/>
    <w:rsid w:val="00BF587C"/>
    <w:rsid w:val="00BF5ABF"/>
    <w:rsid w:val="00BF74E5"/>
    <w:rsid w:val="00C01044"/>
    <w:rsid w:val="00C07224"/>
    <w:rsid w:val="00C122E8"/>
    <w:rsid w:val="00C203F6"/>
    <w:rsid w:val="00C2349C"/>
    <w:rsid w:val="00C24EE5"/>
    <w:rsid w:val="00C2653C"/>
    <w:rsid w:val="00C3039D"/>
    <w:rsid w:val="00C34DD7"/>
    <w:rsid w:val="00C35554"/>
    <w:rsid w:val="00C372B3"/>
    <w:rsid w:val="00C405D8"/>
    <w:rsid w:val="00C445AF"/>
    <w:rsid w:val="00C45773"/>
    <w:rsid w:val="00C55A15"/>
    <w:rsid w:val="00C61355"/>
    <w:rsid w:val="00C61460"/>
    <w:rsid w:val="00C660B4"/>
    <w:rsid w:val="00C74A16"/>
    <w:rsid w:val="00C75F32"/>
    <w:rsid w:val="00C8050F"/>
    <w:rsid w:val="00C81102"/>
    <w:rsid w:val="00C93D0D"/>
    <w:rsid w:val="00C96324"/>
    <w:rsid w:val="00CA25CB"/>
    <w:rsid w:val="00CA6205"/>
    <w:rsid w:val="00CB75DB"/>
    <w:rsid w:val="00CB7B6C"/>
    <w:rsid w:val="00CD388C"/>
    <w:rsid w:val="00CE144B"/>
    <w:rsid w:val="00CE3F38"/>
    <w:rsid w:val="00CF4A10"/>
    <w:rsid w:val="00CF5B36"/>
    <w:rsid w:val="00D03332"/>
    <w:rsid w:val="00D130F3"/>
    <w:rsid w:val="00D2415F"/>
    <w:rsid w:val="00D26647"/>
    <w:rsid w:val="00D3057E"/>
    <w:rsid w:val="00D31431"/>
    <w:rsid w:val="00D40216"/>
    <w:rsid w:val="00D4069C"/>
    <w:rsid w:val="00D5244A"/>
    <w:rsid w:val="00D6127E"/>
    <w:rsid w:val="00D7347C"/>
    <w:rsid w:val="00D77A2F"/>
    <w:rsid w:val="00D86C4E"/>
    <w:rsid w:val="00D979AB"/>
    <w:rsid w:val="00DA205B"/>
    <w:rsid w:val="00DA59A5"/>
    <w:rsid w:val="00DB2F10"/>
    <w:rsid w:val="00DC061E"/>
    <w:rsid w:val="00DD450D"/>
    <w:rsid w:val="00DE0CF9"/>
    <w:rsid w:val="00DF389F"/>
    <w:rsid w:val="00E01AB7"/>
    <w:rsid w:val="00E057ED"/>
    <w:rsid w:val="00E05A51"/>
    <w:rsid w:val="00E06944"/>
    <w:rsid w:val="00E078D2"/>
    <w:rsid w:val="00E15856"/>
    <w:rsid w:val="00E3174F"/>
    <w:rsid w:val="00E340E6"/>
    <w:rsid w:val="00E37616"/>
    <w:rsid w:val="00E623DA"/>
    <w:rsid w:val="00E6601B"/>
    <w:rsid w:val="00E77495"/>
    <w:rsid w:val="00E7783D"/>
    <w:rsid w:val="00E82B86"/>
    <w:rsid w:val="00E83126"/>
    <w:rsid w:val="00E83AC1"/>
    <w:rsid w:val="00E95817"/>
    <w:rsid w:val="00E97F4D"/>
    <w:rsid w:val="00EA2487"/>
    <w:rsid w:val="00EA36D1"/>
    <w:rsid w:val="00EA385B"/>
    <w:rsid w:val="00EA6ABD"/>
    <w:rsid w:val="00EB4213"/>
    <w:rsid w:val="00ED3ACC"/>
    <w:rsid w:val="00ED62FB"/>
    <w:rsid w:val="00EE75E9"/>
    <w:rsid w:val="00EF2FF4"/>
    <w:rsid w:val="00F0068C"/>
    <w:rsid w:val="00F0389C"/>
    <w:rsid w:val="00F17E1E"/>
    <w:rsid w:val="00F224F4"/>
    <w:rsid w:val="00F2390D"/>
    <w:rsid w:val="00F26099"/>
    <w:rsid w:val="00F275BB"/>
    <w:rsid w:val="00F31EF5"/>
    <w:rsid w:val="00F372BB"/>
    <w:rsid w:val="00F430BF"/>
    <w:rsid w:val="00F505D0"/>
    <w:rsid w:val="00F74A1E"/>
    <w:rsid w:val="00F83A2D"/>
    <w:rsid w:val="00F855EF"/>
    <w:rsid w:val="00F87B7A"/>
    <w:rsid w:val="00F90FCA"/>
    <w:rsid w:val="00F91D03"/>
    <w:rsid w:val="00F91DDC"/>
    <w:rsid w:val="00F95C38"/>
    <w:rsid w:val="00FC3F89"/>
    <w:rsid w:val="00FC6919"/>
    <w:rsid w:val="00FD377A"/>
    <w:rsid w:val="00FD3968"/>
    <w:rsid w:val="00FE0EEF"/>
    <w:rsid w:val="00FE6B60"/>
    <w:rsid w:val="00FE7B2A"/>
    <w:rsid w:val="00FF6F51"/>
    <w:rsid w:val="01677F4F"/>
    <w:rsid w:val="02696775"/>
    <w:rsid w:val="03930E35"/>
    <w:rsid w:val="03A82E6C"/>
    <w:rsid w:val="05320BDA"/>
    <w:rsid w:val="05DF719E"/>
    <w:rsid w:val="05E52557"/>
    <w:rsid w:val="06E8308B"/>
    <w:rsid w:val="08287E8D"/>
    <w:rsid w:val="083F3904"/>
    <w:rsid w:val="095D3B05"/>
    <w:rsid w:val="0AE00D05"/>
    <w:rsid w:val="0C685A50"/>
    <w:rsid w:val="0C954DE0"/>
    <w:rsid w:val="10441D4A"/>
    <w:rsid w:val="106826B2"/>
    <w:rsid w:val="10C32B1D"/>
    <w:rsid w:val="116C5C83"/>
    <w:rsid w:val="11C059E2"/>
    <w:rsid w:val="11E54026"/>
    <w:rsid w:val="131C4D1D"/>
    <w:rsid w:val="13B95B6B"/>
    <w:rsid w:val="148517F9"/>
    <w:rsid w:val="1579767D"/>
    <w:rsid w:val="167678C0"/>
    <w:rsid w:val="16973160"/>
    <w:rsid w:val="169E13DF"/>
    <w:rsid w:val="16BB4350"/>
    <w:rsid w:val="16CF2945"/>
    <w:rsid w:val="17C8107A"/>
    <w:rsid w:val="18207EA7"/>
    <w:rsid w:val="189E6717"/>
    <w:rsid w:val="19077288"/>
    <w:rsid w:val="1B053872"/>
    <w:rsid w:val="1C0F77F2"/>
    <w:rsid w:val="1C341E25"/>
    <w:rsid w:val="1C5C6DCA"/>
    <w:rsid w:val="1C8F15EA"/>
    <w:rsid w:val="1DE5506B"/>
    <w:rsid w:val="1E116FFC"/>
    <w:rsid w:val="1E1974FC"/>
    <w:rsid w:val="1EC617CA"/>
    <w:rsid w:val="20A9094B"/>
    <w:rsid w:val="20E72A60"/>
    <w:rsid w:val="210D256F"/>
    <w:rsid w:val="21AA0DC5"/>
    <w:rsid w:val="21BF7947"/>
    <w:rsid w:val="22031D8D"/>
    <w:rsid w:val="22B83B52"/>
    <w:rsid w:val="22F368CF"/>
    <w:rsid w:val="23A545CC"/>
    <w:rsid w:val="242F6610"/>
    <w:rsid w:val="25477D82"/>
    <w:rsid w:val="25F5596C"/>
    <w:rsid w:val="2699660E"/>
    <w:rsid w:val="28AA72D0"/>
    <w:rsid w:val="297E7793"/>
    <w:rsid w:val="298F231C"/>
    <w:rsid w:val="29D03577"/>
    <w:rsid w:val="2B9678F6"/>
    <w:rsid w:val="2C163B75"/>
    <w:rsid w:val="2C2E621C"/>
    <w:rsid w:val="2C3C6DEE"/>
    <w:rsid w:val="2C6A39FE"/>
    <w:rsid w:val="2C85407F"/>
    <w:rsid w:val="2D6D28B6"/>
    <w:rsid w:val="2ED71232"/>
    <w:rsid w:val="2FC1236F"/>
    <w:rsid w:val="2FD317F6"/>
    <w:rsid w:val="316610A7"/>
    <w:rsid w:val="33524657"/>
    <w:rsid w:val="336E2AC1"/>
    <w:rsid w:val="33E46747"/>
    <w:rsid w:val="343833D5"/>
    <w:rsid w:val="344E07AE"/>
    <w:rsid w:val="348163D1"/>
    <w:rsid w:val="351F550C"/>
    <w:rsid w:val="35506C94"/>
    <w:rsid w:val="35FB6681"/>
    <w:rsid w:val="367C5B06"/>
    <w:rsid w:val="36843CF9"/>
    <w:rsid w:val="36B87F89"/>
    <w:rsid w:val="372C24A0"/>
    <w:rsid w:val="3799746C"/>
    <w:rsid w:val="384512D0"/>
    <w:rsid w:val="386D3F8B"/>
    <w:rsid w:val="38A83145"/>
    <w:rsid w:val="38DF7A7F"/>
    <w:rsid w:val="3A8C6AD9"/>
    <w:rsid w:val="3C3D30C1"/>
    <w:rsid w:val="3C7D68FF"/>
    <w:rsid w:val="3D1A4C16"/>
    <w:rsid w:val="3DAC65C9"/>
    <w:rsid w:val="3DBD471A"/>
    <w:rsid w:val="3EF6236F"/>
    <w:rsid w:val="3F3569FA"/>
    <w:rsid w:val="40FC3434"/>
    <w:rsid w:val="413F3332"/>
    <w:rsid w:val="44ED7317"/>
    <w:rsid w:val="458B7F98"/>
    <w:rsid w:val="46636F09"/>
    <w:rsid w:val="47F532F2"/>
    <w:rsid w:val="48145CA7"/>
    <w:rsid w:val="487B50C9"/>
    <w:rsid w:val="48BD40E8"/>
    <w:rsid w:val="494A78B2"/>
    <w:rsid w:val="49B0615B"/>
    <w:rsid w:val="4A861DDB"/>
    <w:rsid w:val="4B646A9E"/>
    <w:rsid w:val="4C840B38"/>
    <w:rsid w:val="4D0545D5"/>
    <w:rsid w:val="4D6C1517"/>
    <w:rsid w:val="4D8F5924"/>
    <w:rsid w:val="4F0E4840"/>
    <w:rsid w:val="4FC50DB2"/>
    <w:rsid w:val="51234CDE"/>
    <w:rsid w:val="52870F45"/>
    <w:rsid w:val="52B567F2"/>
    <w:rsid w:val="53240D71"/>
    <w:rsid w:val="53B432B5"/>
    <w:rsid w:val="53EA1B41"/>
    <w:rsid w:val="54AD458C"/>
    <w:rsid w:val="55211782"/>
    <w:rsid w:val="55747D0D"/>
    <w:rsid w:val="55AC1592"/>
    <w:rsid w:val="56C82358"/>
    <w:rsid w:val="588302AB"/>
    <w:rsid w:val="5A3C289F"/>
    <w:rsid w:val="5A9E5984"/>
    <w:rsid w:val="5AC21272"/>
    <w:rsid w:val="5B45609C"/>
    <w:rsid w:val="5CDD34E5"/>
    <w:rsid w:val="5EDD2AAA"/>
    <w:rsid w:val="603031AE"/>
    <w:rsid w:val="603E3C1C"/>
    <w:rsid w:val="60944266"/>
    <w:rsid w:val="60C10945"/>
    <w:rsid w:val="60ED1BE9"/>
    <w:rsid w:val="61470259"/>
    <w:rsid w:val="614811BA"/>
    <w:rsid w:val="616744FF"/>
    <w:rsid w:val="616E1634"/>
    <w:rsid w:val="61E33C40"/>
    <w:rsid w:val="62CF522C"/>
    <w:rsid w:val="63E34E61"/>
    <w:rsid w:val="64BE6740"/>
    <w:rsid w:val="65FA1096"/>
    <w:rsid w:val="665C3B29"/>
    <w:rsid w:val="66CC2CC4"/>
    <w:rsid w:val="678F355D"/>
    <w:rsid w:val="67A73F98"/>
    <w:rsid w:val="681D30E9"/>
    <w:rsid w:val="692330A9"/>
    <w:rsid w:val="693E1204"/>
    <w:rsid w:val="6ACA4CAC"/>
    <w:rsid w:val="6B4C49E4"/>
    <w:rsid w:val="6C816C92"/>
    <w:rsid w:val="6D14106F"/>
    <w:rsid w:val="6D535020"/>
    <w:rsid w:val="6D740D04"/>
    <w:rsid w:val="6E1559CE"/>
    <w:rsid w:val="6E721057"/>
    <w:rsid w:val="6F1F163A"/>
    <w:rsid w:val="6FF8731D"/>
    <w:rsid w:val="704753C2"/>
    <w:rsid w:val="712B203C"/>
    <w:rsid w:val="722E36BD"/>
    <w:rsid w:val="72FB21E5"/>
    <w:rsid w:val="73363EEA"/>
    <w:rsid w:val="73942165"/>
    <w:rsid w:val="74240999"/>
    <w:rsid w:val="74D67BD7"/>
    <w:rsid w:val="75156F17"/>
    <w:rsid w:val="7537452B"/>
    <w:rsid w:val="75DC7FE0"/>
    <w:rsid w:val="77085DEF"/>
    <w:rsid w:val="77D22859"/>
    <w:rsid w:val="794B068B"/>
    <w:rsid w:val="795E294D"/>
    <w:rsid w:val="7AA41F30"/>
    <w:rsid w:val="7B136813"/>
    <w:rsid w:val="7D891B0C"/>
    <w:rsid w:val="7E6D34B4"/>
    <w:rsid w:val="7F1B03C2"/>
    <w:rsid w:val="7F8E0685"/>
    <w:rsid w:val="7FC364B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Calibri" w:hAnsi="Calibri" w:eastAsia="宋体" w:cs="黑体"/>
      <w:kern w:val="2"/>
      <w:sz w:val="24"/>
      <w:szCs w:val="22"/>
      <w:lang w:val="en-US" w:eastAsia="zh-CN" w:bidi="ar-SA"/>
    </w:rPr>
  </w:style>
  <w:style w:type="paragraph" w:styleId="3">
    <w:name w:val="heading 1"/>
    <w:basedOn w:val="1"/>
    <w:next w:val="1"/>
    <w:link w:val="22"/>
    <w:qFormat/>
    <w:uiPriority w:val="99"/>
    <w:pPr>
      <w:keepNext/>
      <w:keepLines/>
      <w:widowControl/>
      <w:spacing w:beforeLines="100" w:afterLines="100" w:line="480" w:lineRule="auto"/>
      <w:ind w:firstLine="0" w:firstLineChars="0"/>
      <w:jc w:val="center"/>
      <w:outlineLvl w:val="0"/>
    </w:pPr>
    <w:rPr>
      <w:rFonts w:cs="Times New Roman"/>
      <w:b/>
      <w:kern w:val="44"/>
      <w:sz w:val="32"/>
      <w:szCs w:val="20"/>
    </w:rPr>
  </w:style>
  <w:style w:type="paragraph" w:styleId="2">
    <w:name w:val="heading 2"/>
    <w:basedOn w:val="1"/>
    <w:next w:val="1"/>
    <w:link w:val="23"/>
    <w:qFormat/>
    <w:uiPriority w:val="99"/>
    <w:pPr>
      <w:widowControl/>
      <w:tabs>
        <w:tab w:val="left" w:pos="462"/>
        <w:tab w:val="left" w:pos="720"/>
      </w:tabs>
      <w:adjustRightInd w:val="0"/>
      <w:spacing w:beforeLines="50" w:afterLines="50"/>
      <w:ind w:firstLine="0" w:firstLineChars="0"/>
      <w:textAlignment w:val="baseline"/>
      <w:outlineLvl w:val="1"/>
    </w:pPr>
    <w:rPr>
      <w:rFonts w:ascii="Times New Roman" w:hAnsi="Times New Roman" w:cs="Times New Roman"/>
      <w:b/>
      <w:sz w:val="32"/>
      <w:szCs w:val="24"/>
    </w:rPr>
  </w:style>
  <w:style w:type="paragraph" w:styleId="4">
    <w:name w:val="heading 3"/>
    <w:basedOn w:val="1"/>
    <w:next w:val="1"/>
    <w:link w:val="24"/>
    <w:qFormat/>
    <w:uiPriority w:val="9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qFormat/>
    <w:uiPriority w:val="99"/>
    <w:rPr>
      <w:rFonts w:ascii="宋体"/>
      <w:sz w:val="18"/>
      <w:szCs w:val="18"/>
    </w:rPr>
  </w:style>
  <w:style w:type="paragraph" w:styleId="6">
    <w:name w:val="annotation text"/>
    <w:basedOn w:val="1"/>
    <w:link w:val="26"/>
    <w:qFormat/>
    <w:uiPriority w:val="99"/>
    <w:rPr>
      <w:rFonts w:cs="Times New Roman"/>
      <w:sz w:val="22"/>
    </w:rPr>
  </w:style>
  <w:style w:type="paragraph" w:styleId="7">
    <w:name w:val="Body Text"/>
    <w:basedOn w:val="1"/>
    <w:next w:val="1"/>
    <w:link w:val="27"/>
    <w:qFormat/>
    <w:uiPriority w:val="99"/>
    <w:pPr>
      <w:spacing w:after="120"/>
    </w:pPr>
    <w:rPr>
      <w:szCs w:val="24"/>
    </w:rPr>
  </w:style>
  <w:style w:type="paragraph" w:styleId="8">
    <w:name w:val="Body Text Indent"/>
    <w:basedOn w:val="1"/>
    <w:link w:val="28"/>
    <w:qFormat/>
    <w:uiPriority w:val="99"/>
    <w:pPr>
      <w:ind w:firstLine="538" w:firstLineChars="192"/>
    </w:pPr>
    <w:rPr>
      <w:rFonts w:ascii="宋体" w:hAnsi="宋体" w:cs="Times New Roman"/>
      <w:sz w:val="28"/>
      <w:szCs w:val="24"/>
    </w:rPr>
  </w:style>
  <w:style w:type="paragraph" w:styleId="9">
    <w:name w:val="Balloon Text"/>
    <w:basedOn w:val="1"/>
    <w:link w:val="29"/>
    <w:qFormat/>
    <w:uiPriority w:val="99"/>
    <w:rPr>
      <w:rFonts w:cs="Times New Roman"/>
      <w:sz w:val="18"/>
      <w:szCs w:val="18"/>
    </w:rPr>
  </w:style>
  <w:style w:type="paragraph" w:styleId="10">
    <w:name w:val="footer"/>
    <w:basedOn w:val="1"/>
    <w:link w:val="30"/>
    <w:qFormat/>
    <w:uiPriority w:val="99"/>
    <w:pPr>
      <w:tabs>
        <w:tab w:val="center" w:pos="4153"/>
        <w:tab w:val="right" w:pos="8306"/>
      </w:tabs>
      <w:snapToGrid w:val="0"/>
    </w:pPr>
    <w:rPr>
      <w:sz w:val="18"/>
      <w:szCs w:val="18"/>
    </w:rPr>
  </w:style>
  <w:style w:type="paragraph" w:styleId="11">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99"/>
    <w:pPr>
      <w:widowControl/>
      <w:tabs>
        <w:tab w:val="left" w:pos="840"/>
        <w:tab w:val="right" w:leader="dot" w:pos="8296"/>
      </w:tabs>
      <w:spacing w:after="100" w:line="276" w:lineRule="auto"/>
    </w:pPr>
    <w:rPr>
      <w:rFonts w:ascii="仿宋_GB2312" w:eastAsia="仿宋_GB2312" w:cs="Times New Roman"/>
      <w:b/>
      <w:kern w:val="0"/>
      <w:sz w:val="22"/>
    </w:rPr>
  </w:style>
  <w:style w:type="paragraph" w:styleId="13">
    <w:name w:val="Normal (Web)"/>
    <w:basedOn w:val="1"/>
    <w:qFormat/>
    <w:uiPriority w:val="99"/>
    <w:pPr>
      <w:widowControl/>
      <w:spacing w:before="100" w:beforeAutospacing="1" w:after="100" w:afterAutospacing="1" w:line="240" w:lineRule="auto"/>
      <w:ind w:firstLine="0" w:firstLineChars="0"/>
    </w:pPr>
    <w:rPr>
      <w:rFonts w:ascii="等线" w:hAnsi="等线" w:eastAsia="等线" w:cs="等线"/>
      <w:kern w:val="0"/>
      <w:szCs w:val="24"/>
    </w:rPr>
  </w:style>
  <w:style w:type="paragraph" w:styleId="14">
    <w:name w:val="Title"/>
    <w:basedOn w:val="1"/>
    <w:next w:val="1"/>
    <w:link w:val="32"/>
    <w:qFormat/>
    <w:uiPriority w:val="99"/>
    <w:pPr>
      <w:widowControl/>
      <w:spacing w:beforeLines="50" w:afterLines="50"/>
      <w:ind w:firstLine="0" w:firstLineChars="0"/>
      <w:jc w:val="center"/>
      <w:outlineLvl w:val="1"/>
    </w:pPr>
    <w:rPr>
      <w:rFonts w:ascii="Calibri Light" w:hAnsi="Calibri Light" w:cs="Times New Roman"/>
      <w:b/>
      <w:bCs/>
      <w:sz w:val="32"/>
      <w:szCs w:val="32"/>
    </w:rPr>
  </w:style>
  <w:style w:type="paragraph" w:styleId="15">
    <w:name w:val="annotation subject"/>
    <w:basedOn w:val="6"/>
    <w:next w:val="6"/>
    <w:link w:val="33"/>
    <w:qFormat/>
    <w:uiPriority w:val="99"/>
  </w:style>
  <w:style w:type="paragraph" w:styleId="16">
    <w:name w:val="Body Text First Indent"/>
    <w:basedOn w:val="7"/>
    <w:link w:val="34"/>
    <w:qFormat/>
    <w:uiPriority w:val="99"/>
    <w:pPr>
      <w:ind w:firstLine="420"/>
    </w:pPr>
  </w:style>
  <w:style w:type="table" w:styleId="18">
    <w:name w:val="Table Grid"/>
    <w:basedOn w:val="1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Hyperlink"/>
    <w:basedOn w:val="19"/>
    <w:qFormat/>
    <w:uiPriority w:val="99"/>
    <w:rPr>
      <w:rFonts w:cs="Times New Roman"/>
      <w:color w:val="0000FF"/>
      <w:u w:val="single"/>
    </w:rPr>
  </w:style>
  <w:style w:type="character" w:styleId="21">
    <w:name w:val="annotation reference"/>
    <w:qFormat/>
    <w:uiPriority w:val="99"/>
    <w:rPr>
      <w:rFonts w:cs="Times New Roman"/>
      <w:sz w:val="21"/>
      <w:szCs w:val="21"/>
    </w:rPr>
  </w:style>
  <w:style w:type="character" w:customStyle="1" w:styleId="22">
    <w:name w:val="标题 1 Char"/>
    <w:link w:val="3"/>
    <w:qFormat/>
    <w:locked/>
    <w:uiPriority w:val="99"/>
    <w:rPr>
      <w:rFonts w:ascii="Calibri" w:hAnsi="Calibri"/>
      <w:b/>
      <w:kern w:val="44"/>
      <w:sz w:val="32"/>
    </w:rPr>
  </w:style>
  <w:style w:type="character" w:customStyle="1" w:styleId="23">
    <w:name w:val="标题 2 Char"/>
    <w:link w:val="2"/>
    <w:semiHidden/>
    <w:qFormat/>
    <w:uiPriority w:val="9"/>
    <w:rPr>
      <w:rFonts w:ascii="Cambria" w:hAnsi="Cambria" w:eastAsia="宋体" w:cs="Times New Roman"/>
      <w:b/>
      <w:bCs/>
      <w:sz w:val="32"/>
      <w:szCs w:val="32"/>
    </w:rPr>
  </w:style>
  <w:style w:type="character" w:customStyle="1" w:styleId="24">
    <w:name w:val="标题 3 Char"/>
    <w:link w:val="4"/>
    <w:qFormat/>
    <w:locked/>
    <w:uiPriority w:val="99"/>
    <w:rPr>
      <w:rFonts w:ascii="Calibri" w:hAnsi="Calibri" w:eastAsia="宋体" w:cs="黑体"/>
      <w:b/>
      <w:bCs/>
      <w:kern w:val="2"/>
      <w:sz w:val="32"/>
      <w:szCs w:val="32"/>
      <w:lang w:val="en-US" w:eastAsia="zh-CN" w:bidi="ar-SA"/>
    </w:rPr>
  </w:style>
  <w:style w:type="character" w:customStyle="1" w:styleId="25">
    <w:name w:val="文档结构图 Char"/>
    <w:link w:val="5"/>
    <w:qFormat/>
    <w:locked/>
    <w:uiPriority w:val="99"/>
    <w:rPr>
      <w:rFonts w:ascii="宋体" w:hAnsi="Calibri" w:eastAsia="宋体" w:cs="黑体"/>
      <w:kern w:val="2"/>
      <w:sz w:val="18"/>
      <w:szCs w:val="18"/>
      <w:lang w:val="en-US" w:eastAsia="zh-CN" w:bidi="ar-SA"/>
    </w:rPr>
  </w:style>
  <w:style w:type="character" w:customStyle="1" w:styleId="26">
    <w:name w:val="批注文字 Char"/>
    <w:link w:val="6"/>
    <w:qFormat/>
    <w:locked/>
    <w:uiPriority w:val="99"/>
    <w:rPr>
      <w:rFonts w:ascii="Calibri" w:hAnsi="Calibri" w:cs="黑体"/>
      <w:kern w:val="2"/>
      <w:sz w:val="22"/>
      <w:szCs w:val="22"/>
    </w:rPr>
  </w:style>
  <w:style w:type="character" w:customStyle="1" w:styleId="27">
    <w:name w:val="正文文本 Char"/>
    <w:link w:val="7"/>
    <w:semiHidden/>
    <w:qFormat/>
    <w:uiPriority w:val="99"/>
    <w:rPr>
      <w:rFonts w:ascii="Calibri" w:hAnsi="Calibri" w:cs="黑体"/>
      <w:sz w:val="24"/>
    </w:rPr>
  </w:style>
  <w:style w:type="character" w:customStyle="1" w:styleId="28">
    <w:name w:val="正文文本缩进 Char"/>
    <w:link w:val="8"/>
    <w:semiHidden/>
    <w:qFormat/>
    <w:uiPriority w:val="99"/>
    <w:rPr>
      <w:rFonts w:ascii="Calibri" w:hAnsi="Calibri" w:cs="黑体"/>
      <w:sz w:val="24"/>
    </w:rPr>
  </w:style>
  <w:style w:type="character" w:customStyle="1" w:styleId="29">
    <w:name w:val="批注框文本 Char"/>
    <w:link w:val="9"/>
    <w:qFormat/>
    <w:locked/>
    <w:uiPriority w:val="99"/>
    <w:rPr>
      <w:rFonts w:ascii="Calibri" w:hAnsi="Calibri" w:cs="黑体"/>
      <w:kern w:val="2"/>
      <w:sz w:val="18"/>
      <w:szCs w:val="18"/>
    </w:rPr>
  </w:style>
  <w:style w:type="character" w:customStyle="1" w:styleId="30">
    <w:name w:val="页脚 Char"/>
    <w:link w:val="10"/>
    <w:qFormat/>
    <w:locked/>
    <w:uiPriority w:val="99"/>
    <w:rPr>
      <w:rFonts w:ascii="Calibri" w:hAnsi="Calibri" w:eastAsia="宋体" w:cs="黑体"/>
      <w:kern w:val="2"/>
      <w:sz w:val="18"/>
      <w:szCs w:val="18"/>
      <w:lang w:val="en-US" w:eastAsia="zh-CN" w:bidi="ar-SA"/>
    </w:rPr>
  </w:style>
  <w:style w:type="character" w:customStyle="1" w:styleId="31">
    <w:name w:val="页眉 Char"/>
    <w:link w:val="11"/>
    <w:qFormat/>
    <w:locked/>
    <w:uiPriority w:val="99"/>
    <w:rPr>
      <w:rFonts w:ascii="Calibri" w:hAnsi="Calibri" w:eastAsia="宋体" w:cs="黑体"/>
      <w:kern w:val="2"/>
      <w:sz w:val="18"/>
      <w:szCs w:val="18"/>
      <w:lang w:val="en-US" w:eastAsia="zh-CN" w:bidi="ar-SA"/>
    </w:rPr>
  </w:style>
  <w:style w:type="character" w:customStyle="1" w:styleId="32">
    <w:name w:val="标题 Char"/>
    <w:link w:val="14"/>
    <w:qFormat/>
    <w:locked/>
    <w:uiPriority w:val="99"/>
    <w:rPr>
      <w:rFonts w:ascii="Calibri Light" w:hAnsi="Calibri Light" w:cs="Times New Roman"/>
      <w:b/>
      <w:bCs/>
      <w:kern w:val="2"/>
      <w:sz w:val="32"/>
      <w:szCs w:val="32"/>
      <w:lang w:val="en-US" w:eastAsia="zh-CN" w:bidi="ar-SA"/>
    </w:rPr>
  </w:style>
  <w:style w:type="character" w:customStyle="1" w:styleId="33">
    <w:name w:val="批注主题 Char"/>
    <w:link w:val="15"/>
    <w:qFormat/>
    <w:locked/>
    <w:uiPriority w:val="99"/>
    <w:rPr>
      <w:rFonts w:ascii="Calibri" w:hAnsi="Calibri" w:cs="黑体"/>
      <w:kern w:val="2"/>
      <w:sz w:val="22"/>
      <w:szCs w:val="22"/>
    </w:rPr>
  </w:style>
  <w:style w:type="character" w:customStyle="1" w:styleId="34">
    <w:name w:val="正文首行缩进 Char"/>
    <w:link w:val="16"/>
    <w:semiHidden/>
    <w:qFormat/>
    <w:uiPriority w:val="99"/>
    <w:rPr>
      <w:rFonts w:ascii="Calibri" w:hAnsi="Calibri" w:cs="黑体"/>
      <w:sz w:val="24"/>
    </w:rPr>
  </w:style>
  <w:style w:type="paragraph" w:customStyle="1" w:styleId="35">
    <w:name w:val="样式"/>
    <w:link w:val="40"/>
    <w:qFormat/>
    <w:uiPriority w:val="99"/>
    <w:pPr>
      <w:widowControl w:val="0"/>
      <w:autoSpaceDE w:val="0"/>
      <w:autoSpaceDN w:val="0"/>
      <w:adjustRightInd w:val="0"/>
    </w:pPr>
    <w:rPr>
      <w:rFonts w:ascii="宋体" w:hAnsi="Calibri" w:eastAsia="宋体" w:cs="Times New Roman"/>
      <w:sz w:val="22"/>
      <w:szCs w:val="22"/>
      <w:lang w:val="en-US" w:eastAsia="zh-CN" w:bidi="ar-SA"/>
    </w:rPr>
  </w:style>
  <w:style w:type="character" w:customStyle="1" w:styleId="36">
    <w:name w:val="font71"/>
    <w:qFormat/>
    <w:uiPriority w:val="99"/>
    <w:rPr>
      <w:rFonts w:ascii="宋体" w:hAnsi="宋体" w:eastAsia="宋体" w:cs="宋体"/>
      <w:b/>
      <w:color w:val="000000"/>
      <w:sz w:val="22"/>
      <w:szCs w:val="22"/>
      <w:u w:val="none"/>
    </w:rPr>
  </w:style>
  <w:style w:type="character" w:customStyle="1" w:styleId="37">
    <w:name w:val="font61"/>
    <w:qFormat/>
    <w:uiPriority w:val="99"/>
    <w:rPr>
      <w:rFonts w:ascii="宋体" w:hAnsi="宋体" w:eastAsia="宋体" w:cs="宋体"/>
      <w:b/>
      <w:color w:val="000000"/>
      <w:sz w:val="22"/>
      <w:szCs w:val="22"/>
      <w:u w:val="none"/>
    </w:rPr>
  </w:style>
  <w:style w:type="paragraph" w:customStyle="1" w:styleId="38">
    <w:name w:val="Default"/>
    <w:link w:val="39"/>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9">
    <w:name w:val="Default Char Char"/>
    <w:link w:val="38"/>
    <w:qFormat/>
    <w:locked/>
    <w:uiPriority w:val="99"/>
    <w:rPr>
      <w:rFonts w:ascii="宋体"/>
      <w:color w:val="000000"/>
      <w:sz w:val="24"/>
    </w:rPr>
  </w:style>
  <w:style w:type="character" w:customStyle="1" w:styleId="40">
    <w:name w:val="样式 Char"/>
    <w:link w:val="35"/>
    <w:qFormat/>
    <w:locked/>
    <w:uiPriority w:val="99"/>
    <w:rPr>
      <w:rFonts w:ascii="宋体" w:hAnsi="Calibri"/>
      <w:sz w:val="22"/>
    </w:rPr>
  </w:style>
  <w:style w:type="paragraph" w:styleId="41">
    <w:name w:val="List Paragraph"/>
    <w:basedOn w:val="1"/>
    <w:qFormat/>
    <w:uiPriority w:val="99"/>
    <w:pPr>
      <w:ind w:firstLine="420"/>
    </w:pPr>
  </w:style>
  <w:style w:type="table" w:customStyle="1" w:styleId="42">
    <w:name w:val="网格型1"/>
    <w:qFormat/>
    <w:uiPriority w:val="99"/>
    <w:pPr>
      <w:spacing w:afterLines="50"/>
      <w:jc w:val="center"/>
    </w:pPr>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43">
    <w:name w:val="font51"/>
    <w:qFormat/>
    <w:uiPriority w:val="99"/>
    <w:rPr>
      <w:rFonts w:ascii="宋体" w:hAnsi="宋体" w:eastAsia="宋体"/>
      <w:color w:val="000000"/>
      <w:sz w:val="22"/>
      <w:u w:val="none"/>
    </w:rPr>
  </w:style>
  <w:style w:type="paragraph" w:customStyle="1" w:styleId="44">
    <w:name w:val="Normal_40"/>
    <w:qFormat/>
    <w:uiPriority w:val="99"/>
    <w:pPr>
      <w:spacing w:before="120" w:after="240"/>
      <w:jc w:val="both"/>
    </w:pPr>
    <w:rPr>
      <w:rFonts w:ascii="Calibri" w:hAnsi="Calibri" w:eastAsia="宋体" w:cs="等线"/>
      <w:sz w:val="22"/>
      <w:szCs w:val="22"/>
      <w:lang w:val="ru-RU" w:eastAsia="en-US" w:bidi="ar-SA"/>
    </w:rPr>
  </w:style>
  <w:style w:type="character" w:customStyle="1" w:styleId="45">
    <w:name w:val="font01"/>
    <w:qFormat/>
    <w:uiPriority w:val="0"/>
    <w:rPr>
      <w:rFonts w:hint="eastAsia" w:ascii="宋体" w:hAnsi="宋体" w:eastAsia="宋体" w:cs="宋体"/>
      <w:color w:val="000000"/>
      <w:sz w:val="24"/>
      <w:szCs w:val="24"/>
      <w:u w:val="none"/>
    </w:rPr>
  </w:style>
  <w:style w:type="character" w:customStyle="1" w:styleId="46">
    <w:name w:val="NormalCharacter"/>
    <w:semiHidden/>
    <w:qFormat/>
    <w:uiPriority w:val="0"/>
    <w:rPr>
      <w:kern w:val="2"/>
      <w:sz w:val="21"/>
      <w:lang w:val="en-US" w:eastAsia="zh-CN" w:bidi="ar-SA"/>
    </w:rPr>
  </w:style>
  <w:style w:type="character" w:customStyle="1" w:styleId="47">
    <w:name w:val="font31"/>
    <w:qFormat/>
    <w:uiPriority w:val="0"/>
    <w:rPr>
      <w:rFonts w:hint="eastAsia" w:ascii="宋体" w:hAnsi="宋体" w:eastAsia="宋体" w:cs="宋体"/>
      <w:color w:val="000000"/>
      <w:sz w:val="21"/>
      <w:szCs w:val="21"/>
      <w:u w:val="none"/>
    </w:rPr>
  </w:style>
  <w:style w:type="paragraph" w:customStyle="1" w:styleId="48">
    <w:name w:val="Revision"/>
    <w:hidden/>
    <w:semiHidden/>
    <w:qFormat/>
    <w:uiPriority w:val="99"/>
    <w:rPr>
      <w:rFonts w:ascii="Calibri" w:hAnsi="Calibri" w:eastAsia="宋体" w:cs="黑体"/>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998\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china</Company>
  <Pages>63</Pages>
  <Words>5610</Words>
  <Characters>31982</Characters>
  <Lines>266</Lines>
  <Paragraphs>75</Paragraphs>
  <TotalTime>44</TotalTime>
  <ScaleCrop>false</ScaleCrop>
  <LinksUpToDate>false</LinksUpToDate>
  <CharactersWithSpaces>37517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2019-02-20T02:17:00Z</dcterms:created>
  <dc:creator>LHW</dc:creator>
  <cp:lastModifiedBy>郭子强</cp:lastModifiedBy>
  <cp:lastPrinted>2018-08-20T09:10:00Z</cp:lastPrinted>
  <dcterms:modified xsi:type="dcterms:W3CDTF">2021-09-13T08:49:11Z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D556E331BD034D76BE1E8CE5DD16CE7D</vt:lpwstr>
  </property>
</Properties>
</file>